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3CEEC66"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A3A8F6C" w:rsidR="00A601F8" w:rsidRDefault="00A601F8" w:rsidP="00A601F8">
      <w:pPr>
        <w:rPr>
          <w:rFonts w:asciiTheme="minorHAnsi" w:hAnsiTheme="minorHAnsi" w:cs="Arial"/>
          <w:lang w:val="en-GB" w:eastAsia="zh-CN"/>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F56996">
        <w:rPr>
          <w:rFonts w:asciiTheme="minorHAnsi" w:hAnsiTheme="minorHAnsi" w:cs="Arial"/>
          <w:lang w:val="en-GB"/>
        </w:rPr>
        <w:t>Public Finance for SDGs</w:t>
      </w:r>
      <w:r w:rsidR="00B16707">
        <w:rPr>
          <w:rFonts w:asciiTheme="minorHAnsi" w:hAnsiTheme="minorHAnsi" w:cs="Arial" w:hint="eastAsia"/>
          <w:lang w:val="en-GB" w:eastAsia="zh-CN"/>
        </w:rPr>
        <w:t xml:space="preserve"> Fellow</w:t>
      </w:r>
    </w:p>
    <w:p w14:paraId="6A233EF0" w14:textId="5E45C2A8"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F56996">
        <w:rPr>
          <w:rFonts w:asciiTheme="minorHAnsi" w:hAnsiTheme="minorHAnsi" w:cs="Arial"/>
          <w:lang w:val="en-GB"/>
        </w:rPr>
        <w:t>Sustainable Finance</w:t>
      </w:r>
    </w:p>
    <w:p w14:paraId="67D59395" w14:textId="31C4157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F56996" w:rsidRPr="00F56996">
        <w:rPr>
          <w:rFonts w:asciiTheme="minorHAnsi" w:hAnsiTheme="minorHAnsi" w:cs="Arial"/>
          <w:lang w:val="en-GB"/>
        </w:rPr>
        <w:t>Sustainable Finance Hub (SFH), BPPS</w:t>
      </w:r>
    </w:p>
    <w:p w14:paraId="6D413E5E" w14:textId="3F30FA77"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200B0F">
        <w:rPr>
          <w:rFonts w:asciiTheme="minorHAnsi" w:hAnsiTheme="minorHAnsi" w:cs="Arial"/>
        </w:rPr>
        <w:t>Madrid, Spain</w:t>
      </w:r>
      <w:r w:rsidR="001D4FCC">
        <w:rPr>
          <w:rFonts w:asciiTheme="minorHAnsi" w:hAnsiTheme="minorHAnsi" w:cs="Arial"/>
        </w:rPr>
        <w:t xml:space="preserve"> / New Yew, USA</w:t>
      </w:r>
    </w:p>
    <w:p w14:paraId="078B9725" w14:textId="308F19F5"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F56996">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r w:rsidR="004F0720">
        <w:rPr>
          <w:rFonts w:asciiTheme="minorHAnsi" w:hAnsiTheme="minorHAnsi" w:cs="Arial"/>
          <w:lang w:val="en-GB"/>
        </w:rPr>
        <w:t xml:space="preserve"> </w:t>
      </w:r>
      <w:r w:rsidR="00793D2C">
        <w:rPr>
          <w:rFonts w:asciiTheme="minorHAnsi" w:hAnsiTheme="minorHAnsi" w:cs="Arial"/>
          <w:lang w:val="en-GB"/>
        </w:rPr>
        <w:t>to 12 months</w:t>
      </w:r>
      <w:r w:rsidR="004F0720">
        <w:rPr>
          <w:rFonts w:asciiTheme="minorHAnsi" w:hAnsiTheme="minorHAnsi" w:cs="Arial"/>
          <w:lang w:val="en-GB"/>
        </w:rPr>
        <w:t xml:space="preserve"> </w:t>
      </w:r>
    </w:p>
    <w:p w14:paraId="15C313DA" w14:textId="32DF1E54"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F56996">
        <w:rPr>
          <w:rFonts w:asciiTheme="minorHAnsi" w:hAnsiTheme="minorHAnsi" w:cs="Arial"/>
          <w:lang w:val="en-GB"/>
        </w:rPr>
        <w:tab/>
      </w:r>
      <w:r w:rsidR="00F56996">
        <w:rPr>
          <w:rFonts w:asciiTheme="minorHAnsi" w:hAnsiTheme="minorHAnsi" w:cs="Arial"/>
          <w:lang w:val="en-GB"/>
        </w:rPr>
        <w:tab/>
      </w:r>
      <w:r w:rsidR="0053318A">
        <w:rPr>
          <w:rFonts w:asciiTheme="minorHAnsi" w:hAnsiTheme="minorHAnsi" w:cs="Arial"/>
          <w:lang w:val="en-GB"/>
        </w:rPr>
        <w:t>1</w:t>
      </w:r>
      <w:r w:rsidR="0053318A" w:rsidRPr="0053318A">
        <w:rPr>
          <w:rFonts w:asciiTheme="minorHAnsi" w:hAnsiTheme="minorHAnsi" w:cs="Arial"/>
          <w:vertAlign w:val="superscript"/>
          <w:lang w:val="en-GB"/>
        </w:rPr>
        <w:t>st</w:t>
      </w:r>
      <w:r w:rsidR="0053318A">
        <w:rPr>
          <w:rFonts w:asciiTheme="minorHAnsi" w:hAnsiTheme="minorHAnsi" w:cs="Arial"/>
          <w:lang w:val="en-GB"/>
        </w:rPr>
        <w:t xml:space="preserve"> September</w:t>
      </w:r>
      <w:r w:rsidR="00F56996">
        <w:rPr>
          <w:rFonts w:asciiTheme="minorHAnsi" w:hAnsiTheme="minorHAnsi" w:cs="Arial"/>
          <w:lang w:val="en-GB"/>
        </w:rPr>
        <w:t xml:space="preserve"> 2026</w:t>
      </w:r>
      <w:r w:rsidR="0053318A">
        <w:rPr>
          <w:rFonts w:asciiTheme="minorHAnsi" w:hAnsiTheme="minorHAnsi" w:cs="Arial"/>
          <w:lang w:val="en-GB"/>
        </w:rPr>
        <w:t xml:space="preserve"> or earliest possible</w:t>
      </w:r>
      <w:r w:rsidR="00F56996">
        <w:rPr>
          <w:rFonts w:asciiTheme="minorHAnsi" w:hAnsiTheme="minorHAnsi" w:cs="Arial"/>
          <w:lang w:val="en-GB"/>
        </w:rPr>
        <w:t xml:space="preserve"> </w:t>
      </w:r>
    </w:p>
    <w:p w14:paraId="4A699A6C" w14:textId="3BB48A97"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proofErr w:type="spellStart"/>
      <w:r w:rsidR="00E338D4">
        <w:rPr>
          <w:rFonts w:asciiTheme="minorHAnsi" w:hAnsiTheme="minorHAnsi" w:cs="Arial"/>
          <w:lang w:val="en-GB"/>
        </w:rPr>
        <w:t>Orria</w:t>
      </w:r>
      <w:proofErr w:type="spellEnd"/>
      <w:r w:rsidR="00E338D4">
        <w:rPr>
          <w:rFonts w:asciiTheme="minorHAnsi" w:hAnsiTheme="minorHAnsi" w:cs="Arial"/>
          <w:lang w:val="en-GB"/>
        </w:rPr>
        <w:t xml:space="preserve"> </w:t>
      </w:r>
      <w:r w:rsidR="00E338D4" w:rsidRPr="00E338D4">
        <w:rPr>
          <w:rFonts w:asciiTheme="minorHAnsi" w:hAnsiTheme="minorHAnsi" w:cs="Arial"/>
          <w:lang w:val="en-GB"/>
        </w:rPr>
        <w:t xml:space="preserve">Goñi </w:t>
      </w:r>
    </w:p>
    <w:p w14:paraId="440A3199" w14:textId="1EBAADDA"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E338D4">
        <w:rPr>
          <w:rFonts w:asciiTheme="minorHAnsi" w:hAnsiTheme="minorHAnsi" w:cs="Arial"/>
          <w:lang w:val="en-GB"/>
        </w:rPr>
        <w:tab/>
      </w:r>
      <w:r w:rsidR="00E338D4">
        <w:rPr>
          <w:rFonts w:asciiTheme="minorHAnsi" w:hAnsiTheme="minorHAnsi" w:cs="Arial"/>
          <w:lang w:val="en-GB"/>
        </w:rPr>
        <w:tab/>
        <w:t>Head of Public Finance for SDGs, SFH</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746EE0A8" w14:textId="035E9131" w:rsidR="00201466"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r w:rsidR="006709D0">
        <w:rPr>
          <w:rFonts w:asciiTheme="minorHAnsi" w:hAnsiTheme="minorHAnsi" w:cs="Arial"/>
        </w:rPr>
        <w:t xml:space="preserve"> (SDGs)</w:t>
      </w:r>
      <w:r w:rsidRPr="00F20631">
        <w:rPr>
          <w:rFonts w:asciiTheme="minorHAnsi" w:hAnsiTheme="minorHAnsi" w:cs="Arial"/>
        </w:rPr>
        <w:t>.</w:t>
      </w:r>
      <w:r w:rsidR="006709D0" w:rsidRPr="006709D0">
        <w:rPr>
          <w:rFonts w:asciiTheme="minorHAnsi" w:hAnsiTheme="minorHAnsi" w:cs="Arial"/>
          <w:lang w:val="en-GB"/>
        </w:rPr>
        <w:t xml:space="preserve"> UNDP’s policy and programme work, carried out at HQ, Regional and Country Office (CO) levels, form a contiguous spectrum of deep, local knowledge to cutting-edge global perspectives and advocacy. Within this context, UNDP invests in a network of field-based and global technical expertise across a wide range of knowledge domains and in support of the signature solutions and organizational capabilities envisioned in the Strategic Plan.</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6066A942" w14:textId="2170F977" w:rsidR="005C6F8C" w:rsidRDefault="00BB16DD" w:rsidP="005C6F8C">
      <w:pPr>
        <w:jc w:val="both"/>
        <w:rPr>
          <w:rFonts w:asciiTheme="minorHAnsi" w:hAnsiTheme="minorHAnsi" w:cs="Arial"/>
          <w:bCs/>
          <w:lang w:val="en-GB"/>
        </w:rPr>
      </w:pPr>
      <w:r w:rsidRPr="00BB16DD">
        <w:rPr>
          <w:rFonts w:asciiTheme="minorHAnsi" w:hAnsiTheme="minorHAnsi" w:cs="Arial"/>
          <w:bCs/>
          <w:lang w:val="en-GB"/>
        </w:rPr>
        <w:t>UNDP, through its Sustainable Finance Hub (SFH) (https://sdgfinance.undp.org/), supports partners in promoting financing for the SDGs.  As an accelerator of the UNDP Strategic Plan, sustainable finance strengthens countries’ ability to mobilize, align and deploy finance at scale for national priorities. UNDP supports international and country level policy reform as a catalyst for system-wide change, stronger policy environments, better-functioning markets and more coherent financing strategies for sustainable development. SFH work is delivered through three interconnected portfolios: 1) Public Finance for the SDGs; 2) Private Finance for the SDGs; and 3) Global &amp; Country Financing Policy Frameworks. </w:t>
      </w:r>
    </w:p>
    <w:p w14:paraId="4CFB6FAF" w14:textId="77777777" w:rsidR="00BB16DD" w:rsidRDefault="00BB16DD" w:rsidP="005C6F8C">
      <w:pPr>
        <w:jc w:val="both"/>
        <w:rPr>
          <w:rFonts w:asciiTheme="minorHAnsi" w:hAnsiTheme="minorHAnsi" w:cs="Arial"/>
          <w:bCs/>
          <w:lang w:val="en-GB"/>
        </w:rPr>
      </w:pPr>
    </w:p>
    <w:p w14:paraId="1B63CBDE" w14:textId="27FD16B7" w:rsidR="00617B12" w:rsidRDefault="00BB16DD" w:rsidP="00BB16DD">
      <w:pPr>
        <w:jc w:val="both"/>
        <w:rPr>
          <w:rStyle w:val="eop"/>
          <w:rFonts w:ascii="Calibri" w:hAnsi="Calibri" w:cs="Calibri"/>
          <w:color w:val="000000"/>
          <w:shd w:val="clear" w:color="auto" w:fill="FFFFFF"/>
        </w:rPr>
      </w:pPr>
      <w:r>
        <w:rPr>
          <w:rStyle w:val="normaltextrun"/>
          <w:rFonts w:ascii="Calibri" w:hAnsi="Calibri" w:cs="Calibri"/>
          <w:color w:val="000000"/>
          <w:shd w:val="clear" w:color="auto" w:fill="FFFFFF"/>
        </w:rPr>
        <w:t xml:space="preserve">SFH Public Finance for SDGs (PF4SDGs) portfolio supports governments in transforming their public finance systems to accelerate SDG implementation. It targets key barriers such as inefficient public expenditures, limited domestic resource mobilization, and misaligned fiscal policy frameworks. Public Finance for the SDGs is structured around four interlinked pillars: (1) strengthening domestic resource mobilization; (2) enhancing public expenditure efficiency; (3) ensuring fiscal policy coherence; and (4) enhanced transparency, accountability, and participation through digital fiscal governance. Building on UNDP Country Office portfolios and already existing engagements with national partners such as the Ministries of Finance, the Public Finance for SDGs initiative is scaling up the focus and role of public finance and applying a fiscal policy coherence approach, aiming to help governments ensure that revenue, expenditure, and debt decisions pull in the same direction toward national development objectives and accelerating their achievement. It adopts a national-to-subnational governance </w:t>
      </w:r>
      <w:r>
        <w:rPr>
          <w:rStyle w:val="normaltextrun"/>
          <w:rFonts w:ascii="Calibri" w:hAnsi="Calibri" w:cs="Calibri"/>
          <w:color w:val="000000"/>
          <w:shd w:val="clear" w:color="auto" w:fill="FFFFFF"/>
        </w:rPr>
        <w:lastRenderedPageBreak/>
        <w:t>approach; embeds transparency, accountability, and participation throughout its work; promotes alignment with climate, equity, gender equality, health, nature and resilience goals, and enables countries to de-risk investment environments and unlock both public and private finance for the SDGs. </w:t>
      </w:r>
      <w:r>
        <w:rPr>
          <w:rStyle w:val="eop"/>
          <w:rFonts w:ascii="Calibri" w:hAnsi="Calibri" w:cs="Calibri"/>
          <w:color w:val="000000"/>
          <w:shd w:val="clear" w:color="auto" w:fill="FFFFFF"/>
        </w:rPr>
        <w:t> </w:t>
      </w:r>
    </w:p>
    <w:p w14:paraId="3BE05E61" w14:textId="77777777" w:rsidR="00BB16DD" w:rsidRDefault="00BB16DD" w:rsidP="00BB16DD">
      <w:pPr>
        <w:jc w:val="both"/>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7CE39BF3"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7136F0" w14:paraId="687853B7" w14:textId="77777777" w:rsidTr="001B6350">
        <w:tc>
          <w:tcPr>
            <w:tcW w:w="510" w:type="dxa"/>
            <w:shd w:val="clear" w:color="auto" w:fill="E6E6E6"/>
          </w:tcPr>
          <w:p w14:paraId="097D5693" w14:textId="77777777" w:rsidR="00A601F8" w:rsidRPr="007136F0" w:rsidRDefault="00A601F8" w:rsidP="00342B64">
            <w:pPr>
              <w:jc w:val="center"/>
              <w:rPr>
                <w:rFonts w:asciiTheme="minorHAnsi" w:hAnsiTheme="minorHAnsi" w:cs="Arial"/>
                <w:b/>
                <w:lang w:val="en-GB"/>
              </w:rPr>
            </w:pPr>
            <w:r w:rsidRPr="007136F0">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7136F0" w:rsidRDefault="00A601F8" w:rsidP="00342B64">
            <w:pPr>
              <w:jc w:val="center"/>
              <w:rPr>
                <w:rFonts w:asciiTheme="minorHAnsi" w:hAnsiTheme="minorHAnsi" w:cs="Arial"/>
                <w:b/>
                <w:lang w:val="en-GB"/>
              </w:rPr>
            </w:pPr>
            <w:r w:rsidRPr="007136F0">
              <w:rPr>
                <w:rFonts w:asciiTheme="minorHAnsi" w:hAnsiTheme="minorHAnsi" w:cs="Arial"/>
                <w:b/>
                <w:lang w:val="en-GB"/>
              </w:rPr>
              <w:t>Duties and responsibilities</w:t>
            </w:r>
          </w:p>
        </w:tc>
        <w:tc>
          <w:tcPr>
            <w:tcW w:w="1005" w:type="dxa"/>
            <w:shd w:val="clear" w:color="auto" w:fill="E6E6E6"/>
          </w:tcPr>
          <w:p w14:paraId="435D2C46" w14:textId="77777777" w:rsidR="00A601F8" w:rsidRPr="007136F0" w:rsidRDefault="00A601F8" w:rsidP="00342B64">
            <w:pPr>
              <w:jc w:val="center"/>
              <w:rPr>
                <w:rFonts w:asciiTheme="minorHAnsi" w:hAnsiTheme="minorHAnsi" w:cs="Arial"/>
                <w:b/>
                <w:lang w:val="en-GB"/>
              </w:rPr>
            </w:pPr>
            <w:r w:rsidRPr="007136F0">
              <w:rPr>
                <w:rFonts w:asciiTheme="minorHAnsi" w:hAnsiTheme="minorHAnsi" w:cs="Arial"/>
                <w:b/>
                <w:lang w:val="en-GB"/>
              </w:rPr>
              <w:t>% of time</w:t>
            </w:r>
          </w:p>
        </w:tc>
      </w:tr>
      <w:tr w:rsidR="00F64BAA" w:rsidRPr="007136F0" w14:paraId="497682F7" w14:textId="77777777" w:rsidTr="00B65404">
        <w:tc>
          <w:tcPr>
            <w:tcW w:w="510" w:type="dxa"/>
          </w:tcPr>
          <w:p w14:paraId="7248AB16" w14:textId="5200FAEA" w:rsidR="00F64BAA" w:rsidRPr="007136F0" w:rsidRDefault="007F00C2" w:rsidP="00D91EE0">
            <w:pPr>
              <w:rPr>
                <w:rFonts w:ascii="Calibri" w:hAnsi="Calibri" w:cs="Calibri"/>
                <w:lang w:val="en-GB"/>
              </w:rPr>
            </w:pPr>
            <w:r w:rsidRPr="007136F0">
              <w:rPr>
                <w:rFonts w:ascii="Calibri" w:hAnsi="Calibri" w:cs="Calibri"/>
                <w:lang w:val="en-GB"/>
              </w:rPr>
              <w:t>1</w:t>
            </w:r>
          </w:p>
        </w:tc>
        <w:tc>
          <w:tcPr>
            <w:tcW w:w="7310" w:type="dxa"/>
          </w:tcPr>
          <w:p w14:paraId="42B262C4" w14:textId="0A6BBB81" w:rsidR="007F00C2" w:rsidRPr="007136F0" w:rsidRDefault="00BE1FD3" w:rsidP="007F00C2">
            <w:pPr>
              <w:rPr>
                <w:rFonts w:ascii="Calibri" w:hAnsi="Calibri" w:cs="Calibri"/>
                <w:b/>
                <w:lang w:val="en-GB"/>
              </w:rPr>
            </w:pPr>
            <w:r w:rsidRPr="007136F0">
              <w:rPr>
                <w:rFonts w:ascii="Calibri" w:hAnsi="Calibri" w:cs="Calibri"/>
                <w:b/>
                <w:lang w:val="en-GB"/>
              </w:rPr>
              <w:t>Research and Knowledge Management</w:t>
            </w:r>
          </w:p>
          <w:p w14:paraId="7F7502D0" w14:textId="5D0B26BA" w:rsidR="00BE1FD3" w:rsidRPr="007136F0" w:rsidRDefault="009D3290" w:rsidP="00E71F29">
            <w:pPr>
              <w:numPr>
                <w:ilvl w:val="0"/>
                <w:numId w:val="24"/>
              </w:numPr>
              <w:spacing w:before="100" w:beforeAutospacing="1" w:after="100" w:afterAutospacing="1"/>
              <w:contextualSpacing/>
              <w:rPr>
                <w:rFonts w:ascii="Calibri" w:hAnsi="Calibri" w:cs="Calibri"/>
              </w:rPr>
            </w:pPr>
            <w:r w:rsidRPr="007136F0">
              <w:rPr>
                <w:rFonts w:ascii="Calibri" w:hAnsi="Calibri" w:cs="Calibri"/>
              </w:rPr>
              <w:t>Assist in c</w:t>
            </w:r>
            <w:r w:rsidR="00BE1FD3" w:rsidRPr="007136F0">
              <w:rPr>
                <w:rFonts w:ascii="Calibri" w:hAnsi="Calibri" w:cs="Calibri"/>
              </w:rPr>
              <w:t>onduct</w:t>
            </w:r>
            <w:r w:rsidRPr="007136F0">
              <w:rPr>
                <w:rFonts w:ascii="Calibri" w:hAnsi="Calibri" w:cs="Calibri"/>
              </w:rPr>
              <w:t xml:space="preserve">ing </w:t>
            </w:r>
            <w:r w:rsidR="00BE1FD3" w:rsidRPr="007136F0">
              <w:rPr>
                <w:rFonts w:ascii="Calibri" w:hAnsi="Calibri" w:cs="Calibri"/>
              </w:rPr>
              <w:t xml:space="preserve">analytical work and research in areas related to </w:t>
            </w:r>
            <w:r w:rsidRPr="007136F0">
              <w:rPr>
                <w:rFonts w:ascii="Calibri" w:hAnsi="Calibri" w:cs="Calibri"/>
              </w:rPr>
              <w:t xml:space="preserve">tax, </w:t>
            </w:r>
            <w:r w:rsidR="00BE1FD3" w:rsidRPr="007136F0">
              <w:rPr>
                <w:rFonts w:ascii="Calibri" w:hAnsi="Calibri" w:cs="Calibri"/>
              </w:rPr>
              <w:t xml:space="preserve">public financial management, </w:t>
            </w:r>
            <w:r w:rsidRPr="007136F0">
              <w:rPr>
                <w:rFonts w:ascii="Calibri" w:hAnsi="Calibri" w:cs="Calibri"/>
              </w:rPr>
              <w:t xml:space="preserve">SDG </w:t>
            </w:r>
            <w:r w:rsidR="00BE1FD3" w:rsidRPr="007136F0">
              <w:rPr>
                <w:rFonts w:ascii="Calibri" w:hAnsi="Calibri" w:cs="Calibri"/>
              </w:rPr>
              <w:t xml:space="preserve">budgeting, fiscal space analysis, expenditure tracking, </w:t>
            </w:r>
            <w:r w:rsidRPr="007136F0">
              <w:rPr>
                <w:rFonts w:ascii="Calibri" w:hAnsi="Calibri" w:cs="Calibri"/>
              </w:rPr>
              <w:t xml:space="preserve">fiscal policy coherence, among others. </w:t>
            </w:r>
          </w:p>
          <w:p w14:paraId="00767442" w14:textId="77777777" w:rsidR="00F64BAA" w:rsidRPr="007136F0" w:rsidRDefault="00BE1FD3" w:rsidP="00E71F29">
            <w:pPr>
              <w:numPr>
                <w:ilvl w:val="0"/>
                <w:numId w:val="24"/>
              </w:numPr>
              <w:spacing w:before="100" w:beforeAutospacing="1" w:after="100" w:afterAutospacing="1"/>
              <w:contextualSpacing/>
              <w:rPr>
                <w:rFonts w:ascii="Calibri" w:hAnsi="Calibri" w:cs="Calibri"/>
              </w:rPr>
            </w:pPr>
            <w:r w:rsidRPr="007136F0">
              <w:rPr>
                <w:rFonts w:ascii="Calibri" w:hAnsi="Calibri" w:cs="Calibri"/>
              </w:rPr>
              <w:t>Contribute to the development of technical notes, guidance documents</w:t>
            </w:r>
            <w:r w:rsidR="00142101" w:rsidRPr="007136F0">
              <w:rPr>
                <w:rFonts w:ascii="Calibri" w:hAnsi="Calibri" w:cs="Calibri"/>
              </w:rPr>
              <w:t xml:space="preserve">, and knowledge products </w:t>
            </w:r>
            <w:r w:rsidRPr="007136F0">
              <w:rPr>
                <w:rFonts w:ascii="Calibri" w:hAnsi="Calibri" w:cs="Calibri"/>
              </w:rPr>
              <w:t>on integrating SDG principles into public finance systems</w:t>
            </w:r>
            <w:r w:rsidR="00142101" w:rsidRPr="007136F0">
              <w:rPr>
                <w:rFonts w:ascii="Calibri" w:hAnsi="Calibri" w:cs="Calibri"/>
              </w:rPr>
              <w:t>.</w:t>
            </w:r>
            <w:r w:rsidRPr="007136F0">
              <w:rPr>
                <w:rFonts w:ascii="Calibri" w:hAnsi="Calibri" w:cs="Calibri"/>
              </w:rPr>
              <w:t xml:space="preserve"> </w:t>
            </w:r>
          </w:p>
          <w:p w14:paraId="56C02510" w14:textId="1ECA5BB2" w:rsidR="00E71F29" w:rsidRPr="007136F0" w:rsidRDefault="00E71F29" w:rsidP="00E71F29">
            <w:pPr>
              <w:numPr>
                <w:ilvl w:val="0"/>
                <w:numId w:val="24"/>
              </w:numPr>
              <w:contextualSpacing/>
              <w:rPr>
                <w:rFonts w:ascii="Calibri" w:hAnsi="Calibri" w:cs="Calibri"/>
              </w:rPr>
            </w:pPr>
            <w:r w:rsidRPr="007136F0">
              <w:rPr>
                <w:rFonts w:ascii="Calibri" w:hAnsi="Calibri" w:cs="Calibri"/>
              </w:rPr>
              <w:t>Gather and analyze best practices and lessons learned from the pilots of the Fiscal Policy Coherence approach</w:t>
            </w:r>
          </w:p>
        </w:tc>
        <w:tc>
          <w:tcPr>
            <w:tcW w:w="1005" w:type="dxa"/>
          </w:tcPr>
          <w:p w14:paraId="245AC64F" w14:textId="71858AED" w:rsidR="00F64BAA" w:rsidRPr="007136F0" w:rsidRDefault="00DA2B62" w:rsidP="00805F90">
            <w:pPr>
              <w:jc w:val="center"/>
              <w:rPr>
                <w:rFonts w:asciiTheme="minorHAnsi" w:hAnsiTheme="minorHAnsi" w:cs="Arial"/>
                <w:b/>
                <w:lang w:val="en-GB"/>
              </w:rPr>
            </w:pPr>
            <w:r w:rsidRPr="007136F0">
              <w:rPr>
                <w:rFonts w:asciiTheme="minorHAnsi" w:hAnsiTheme="minorHAnsi" w:cs="Arial"/>
                <w:b/>
                <w:lang w:val="en-GB"/>
              </w:rPr>
              <w:t>3</w:t>
            </w:r>
            <w:r w:rsidR="00C02773" w:rsidRPr="007136F0">
              <w:rPr>
                <w:rFonts w:asciiTheme="minorHAnsi" w:hAnsiTheme="minorHAnsi" w:cs="Arial"/>
                <w:b/>
                <w:lang w:val="en-GB"/>
              </w:rPr>
              <w:t>5</w:t>
            </w:r>
            <w:r w:rsidR="00F64BAA" w:rsidRPr="007136F0">
              <w:rPr>
                <w:rFonts w:asciiTheme="minorHAnsi" w:hAnsiTheme="minorHAnsi" w:cs="Arial"/>
                <w:b/>
                <w:lang w:val="en-GB"/>
              </w:rPr>
              <w:t>%</w:t>
            </w:r>
          </w:p>
        </w:tc>
      </w:tr>
      <w:tr w:rsidR="00B11819" w:rsidRPr="007136F0" w14:paraId="1033BB4A" w14:textId="77777777" w:rsidTr="00B65404">
        <w:tc>
          <w:tcPr>
            <w:tcW w:w="510" w:type="dxa"/>
          </w:tcPr>
          <w:p w14:paraId="732DC98D" w14:textId="6C7461D8" w:rsidR="00B11819" w:rsidRPr="007136F0" w:rsidRDefault="00B11819" w:rsidP="00B11819">
            <w:pPr>
              <w:rPr>
                <w:rFonts w:ascii="Calibri" w:hAnsi="Calibri" w:cs="Calibri"/>
                <w:lang w:val="en-GB"/>
              </w:rPr>
            </w:pPr>
            <w:r w:rsidRPr="007136F0">
              <w:rPr>
                <w:rFonts w:ascii="Calibri" w:hAnsi="Calibri" w:cs="Calibri"/>
                <w:lang w:val="en-GB"/>
              </w:rPr>
              <w:t>2</w:t>
            </w:r>
          </w:p>
        </w:tc>
        <w:tc>
          <w:tcPr>
            <w:tcW w:w="7310" w:type="dxa"/>
          </w:tcPr>
          <w:p w14:paraId="27F2510F" w14:textId="47DA9C45" w:rsidR="00B11819" w:rsidRPr="00D76588" w:rsidRDefault="00B11819" w:rsidP="00B11819">
            <w:pPr>
              <w:rPr>
                <w:rFonts w:ascii="Calibri" w:hAnsi="Calibri" w:cs="Calibri"/>
                <w:b/>
                <w:bCs/>
                <w:lang w:val="en-GB"/>
              </w:rPr>
            </w:pPr>
            <w:r w:rsidRPr="00D76588">
              <w:rPr>
                <w:rFonts w:ascii="Calibri" w:hAnsi="Calibri" w:cs="Calibri"/>
                <w:b/>
                <w:bCs/>
                <w:lang w:val="en-GB"/>
              </w:rPr>
              <w:t xml:space="preserve">Global Policy Network (GPN) Coordination and Portfolio Management </w:t>
            </w:r>
          </w:p>
          <w:p w14:paraId="161C75A8" w14:textId="5E00535F" w:rsidR="00B11819" w:rsidRPr="007136F0" w:rsidRDefault="00B11819" w:rsidP="003E5A99">
            <w:pPr>
              <w:pStyle w:val="ListParagraph"/>
              <w:numPr>
                <w:ilvl w:val="0"/>
                <w:numId w:val="19"/>
              </w:numPr>
              <w:ind w:right="-80"/>
              <w:rPr>
                <w:rFonts w:ascii="Calibri" w:hAnsi="Calibri" w:cs="Calibri"/>
                <w:lang w:val="en-GB"/>
              </w:rPr>
            </w:pPr>
            <w:r w:rsidRPr="007136F0">
              <w:rPr>
                <w:rFonts w:ascii="Calibri" w:hAnsi="Calibri" w:cs="Calibri"/>
                <w:lang w:val="en-GB"/>
              </w:rPr>
              <w:t xml:space="preserve">Assist in </w:t>
            </w:r>
            <w:r w:rsidR="00F66904" w:rsidRPr="007136F0">
              <w:rPr>
                <w:rFonts w:ascii="Calibri" w:hAnsi="Calibri" w:cs="Calibri"/>
                <w:lang w:val="en-GB"/>
              </w:rPr>
              <w:t xml:space="preserve">coordinating </w:t>
            </w:r>
            <w:r w:rsidRPr="007136F0">
              <w:rPr>
                <w:rFonts w:ascii="Calibri" w:hAnsi="Calibri" w:cs="Calibri"/>
                <w:lang w:val="en-GB"/>
              </w:rPr>
              <w:t xml:space="preserve">financing work across the GPN </w:t>
            </w:r>
            <w:r w:rsidR="00F66904" w:rsidRPr="007136F0">
              <w:rPr>
                <w:rFonts w:ascii="Calibri" w:hAnsi="Calibri" w:cs="Calibri"/>
                <w:lang w:val="en-GB"/>
              </w:rPr>
              <w:t>Hu</w:t>
            </w:r>
            <w:r w:rsidRPr="007136F0">
              <w:rPr>
                <w:rFonts w:ascii="Calibri" w:hAnsi="Calibri" w:cs="Calibri"/>
                <w:lang w:val="en-GB"/>
              </w:rPr>
              <w:t xml:space="preserve">bs and </w:t>
            </w:r>
            <w:r w:rsidR="00F66904" w:rsidRPr="007136F0">
              <w:rPr>
                <w:rFonts w:ascii="Calibri" w:hAnsi="Calibri" w:cs="Calibri"/>
                <w:lang w:val="en-GB"/>
              </w:rPr>
              <w:t>R</w:t>
            </w:r>
            <w:r w:rsidRPr="007136F0">
              <w:rPr>
                <w:rFonts w:ascii="Calibri" w:hAnsi="Calibri" w:cs="Calibri"/>
                <w:lang w:val="en-GB"/>
              </w:rPr>
              <w:t xml:space="preserve">egional </w:t>
            </w:r>
            <w:r w:rsidR="00F66904" w:rsidRPr="007136F0">
              <w:rPr>
                <w:rFonts w:ascii="Calibri" w:hAnsi="Calibri" w:cs="Calibri"/>
                <w:lang w:val="en-GB"/>
              </w:rPr>
              <w:t>B</w:t>
            </w:r>
            <w:r w:rsidRPr="007136F0">
              <w:rPr>
                <w:rFonts w:ascii="Calibri" w:hAnsi="Calibri" w:cs="Calibri"/>
                <w:lang w:val="en-GB"/>
              </w:rPr>
              <w:t>ureaux</w:t>
            </w:r>
            <w:r w:rsidR="00F66904" w:rsidRPr="007136F0">
              <w:rPr>
                <w:rFonts w:ascii="Calibri" w:hAnsi="Calibri" w:cs="Calibri"/>
                <w:lang w:val="en-GB"/>
              </w:rPr>
              <w:t xml:space="preserve">. </w:t>
            </w:r>
          </w:p>
          <w:p w14:paraId="5CDA7343" w14:textId="2AB331F5" w:rsidR="00B11819" w:rsidRPr="007136F0" w:rsidRDefault="00F66904" w:rsidP="003E5A99">
            <w:pPr>
              <w:numPr>
                <w:ilvl w:val="0"/>
                <w:numId w:val="19"/>
              </w:numPr>
              <w:spacing w:before="100" w:beforeAutospacing="1" w:after="100" w:afterAutospacing="1"/>
              <w:ind w:right="-80"/>
              <w:contextualSpacing/>
              <w:rPr>
                <w:rFonts w:ascii="Calibri" w:hAnsi="Calibri" w:cs="Calibri"/>
              </w:rPr>
            </w:pPr>
            <w:r w:rsidRPr="007136F0">
              <w:rPr>
                <w:rFonts w:ascii="Calibri" w:hAnsi="Calibri" w:cs="Calibri"/>
              </w:rPr>
              <w:t>Support</w:t>
            </w:r>
            <w:r w:rsidR="00B11819" w:rsidRPr="007136F0">
              <w:rPr>
                <w:rFonts w:ascii="Calibri" w:hAnsi="Calibri" w:cs="Calibri"/>
              </w:rPr>
              <w:t xml:space="preserve"> daily</w:t>
            </w:r>
            <w:r w:rsidRPr="007136F0">
              <w:rPr>
                <w:rFonts w:ascii="Calibri" w:hAnsi="Calibri" w:cs="Calibri"/>
              </w:rPr>
              <w:t xml:space="preserve"> PF4SDGs</w:t>
            </w:r>
            <w:r w:rsidR="00B11819" w:rsidRPr="007136F0">
              <w:rPr>
                <w:rFonts w:ascii="Calibri" w:hAnsi="Calibri" w:cs="Calibri"/>
              </w:rPr>
              <w:t xml:space="preserve"> portfolio management activities </w:t>
            </w:r>
            <w:r w:rsidR="003E5A99">
              <w:rPr>
                <w:rFonts w:ascii="Calibri" w:hAnsi="Calibri" w:cs="Calibri"/>
              </w:rPr>
              <w:t xml:space="preserve">including </w:t>
            </w:r>
            <w:r w:rsidRPr="007136F0">
              <w:rPr>
                <w:rFonts w:ascii="Calibri" w:hAnsi="Calibri" w:cs="Calibri"/>
              </w:rPr>
              <w:t>coordination,</w:t>
            </w:r>
            <w:r w:rsidR="00B11819" w:rsidRPr="007136F0">
              <w:rPr>
                <w:rFonts w:ascii="Calibri" w:hAnsi="Calibri" w:cs="Calibri"/>
              </w:rPr>
              <w:t xml:space="preserve"> planning, implementation, monitoring and reporting at the global level.</w:t>
            </w:r>
          </w:p>
          <w:p w14:paraId="3E9A11E5" w14:textId="1033E015" w:rsidR="00B11819" w:rsidRPr="007136F0" w:rsidRDefault="00B11819" w:rsidP="003E5A99">
            <w:pPr>
              <w:numPr>
                <w:ilvl w:val="0"/>
                <w:numId w:val="19"/>
              </w:numPr>
              <w:spacing w:before="100" w:beforeAutospacing="1" w:after="100" w:afterAutospacing="1"/>
              <w:ind w:right="-80"/>
              <w:contextualSpacing/>
              <w:rPr>
                <w:rFonts w:ascii="Calibri" w:hAnsi="Calibri" w:cs="Calibri"/>
              </w:rPr>
            </w:pPr>
            <w:r w:rsidRPr="007136F0">
              <w:rPr>
                <w:rFonts w:ascii="Calibri" w:hAnsi="Calibri" w:cs="Calibri"/>
                <w:lang w:val="en-GB"/>
              </w:rPr>
              <w:t>Maintain and enhance the effective usage of digital tools, such as Power-BI, and processes to manage</w:t>
            </w:r>
            <w:r w:rsidR="00C67142" w:rsidRPr="007136F0">
              <w:rPr>
                <w:rFonts w:ascii="Calibri" w:hAnsi="Calibri" w:cs="Calibri"/>
                <w:lang w:val="en-GB"/>
              </w:rPr>
              <w:t xml:space="preserve"> PF4SDGs</w:t>
            </w:r>
            <w:r w:rsidRPr="007136F0">
              <w:rPr>
                <w:rFonts w:ascii="Calibri" w:hAnsi="Calibri" w:cs="Calibri"/>
                <w:lang w:val="en-GB"/>
              </w:rPr>
              <w:t xml:space="preserve"> portfolio data.</w:t>
            </w:r>
          </w:p>
        </w:tc>
        <w:tc>
          <w:tcPr>
            <w:tcW w:w="1005" w:type="dxa"/>
          </w:tcPr>
          <w:p w14:paraId="37AD58C8" w14:textId="466AF332" w:rsidR="00B11819" w:rsidRPr="007136F0" w:rsidRDefault="00B11819" w:rsidP="00B11819">
            <w:pPr>
              <w:jc w:val="center"/>
              <w:rPr>
                <w:rFonts w:asciiTheme="minorHAnsi" w:hAnsiTheme="minorHAnsi" w:cs="Arial"/>
                <w:b/>
                <w:lang w:val="en-GB"/>
              </w:rPr>
            </w:pPr>
            <w:r w:rsidRPr="007136F0">
              <w:rPr>
                <w:rFonts w:asciiTheme="minorHAnsi" w:hAnsiTheme="minorHAnsi" w:cs="Arial"/>
                <w:b/>
                <w:lang w:val="en-GB"/>
              </w:rPr>
              <w:t>30%</w:t>
            </w:r>
          </w:p>
        </w:tc>
      </w:tr>
      <w:tr w:rsidR="00805F90" w:rsidRPr="007136F0" w14:paraId="1F30E8BA" w14:textId="77777777" w:rsidTr="00B65404">
        <w:tc>
          <w:tcPr>
            <w:tcW w:w="510" w:type="dxa"/>
          </w:tcPr>
          <w:p w14:paraId="68A81163" w14:textId="022BA330" w:rsidR="00805F90" w:rsidRPr="007136F0" w:rsidRDefault="00B11819" w:rsidP="00805F90">
            <w:pPr>
              <w:rPr>
                <w:rFonts w:asciiTheme="minorHAnsi" w:hAnsiTheme="minorHAnsi" w:cs="Arial"/>
                <w:lang w:val="en-GB"/>
              </w:rPr>
            </w:pPr>
            <w:r w:rsidRPr="007136F0">
              <w:rPr>
                <w:rFonts w:asciiTheme="minorHAnsi" w:hAnsiTheme="minorHAnsi" w:cs="Arial"/>
                <w:lang w:val="en-GB"/>
              </w:rPr>
              <w:t>3</w:t>
            </w:r>
          </w:p>
        </w:tc>
        <w:tc>
          <w:tcPr>
            <w:tcW w:w="7310" w:type="dxa"/>
          </w:tcPr>
          <w:p w14:paraId="7FAB14BE" w14:textId="609D7B4A" w:rsidR="00805F90" w:rsidRPr="007136F0" w:rsidRDefault="00805F90" w:rsidP="00805F90">
            <w:pPr>
              <w:rPr>
                <w:rFonts w:ascii="Calibri" w:hAnsi="Calibri" w:cs="Calibri"/>
                <w:b/>
                <w:bCs/>
                <w:lang w:val="en-GB"/>
              </w:rPr>
            </w:pPr>
            <w:r w:rsidRPr="007136F0">
              <w:rPr>
                <w:rFonts w:ascii="Calibri" w:hAnsi="Calibri" w:cs="Calibri"/>
                <w:b/>
                <w:bCs/>
                <w:lang w:val="en-GB"/>
              </w:rPr>
              <w:t>Strategic Engagement, Partnerships, and Resource Mobilization</w:t>
            </w:r>
          </w:p>
          <w:p w14:paraId="204380C4" w14:textId="096136E8" w:rsidR="00805F90" w:rsidRPr="007136F0" w:rsidRDefault="00805F90" w:rsidP="00805F90">
            <w:pPr>
              <w:numPr>
                <w:ilvl w:val="0"/>
                <w:numId w:val="19"/>
              </w:numPr>
              <w:spacing w:before="100" w:beforeAutospacing="1" w:after="100" w:afterAutospacing="1"/>
              <w:contextualSpacing/>
              <w:rPr>
                <w:rFonts w:ascii="Calibri" w:hAnsi="Calibri" w:cs="Calibri"/>
              </w:rPr>
            </w:pPr>
            <w:r w:rsidRPr="007136F0">
              <w:rPr>
                <w:rFonts w:ascii="Calibri" w:hAnsi="Calibri" w:cs="Calibri"/>
              </w:rPr>
              <w:t xml:space="preserve">Assist in the organization of strategic engagement and advocacy activities, such as a global conference on the SPA initiatives, workshop on public finance </w:t>
            </w:r>
            <w:proofErr w:type="gramStart"/>
            <w:r w:rsidRPr="007136F0">
              <w:rPr>
                <w:rFonts w:ascii="Calibri" w:hAnsi="Calibri" w:cs="Calibri"/>
              </w:rPr>
              <w:t>ecosystem</w:t>
            </w:r>
            <w:proofErr w:type="gramEnd"/>
            <w:r w:rsidRPr="007136F0">
              <w:rPr>
                <w:rFonts w:ascii="Calibri" w:hAnsi="Calibri" w:cs="Calibri"/>
              </w:rPr>
              <w:t xml:space="preserve">, side events on the margins of the UN and non-UN platforms. </w:t>
            </w:r>
          </w:p>
          <w:p w14:paraId="54A671B7" w14:textId="70B0E1CA" w:rsidR="00805F90" w:rsidRPr="007136F0" w:rsidRDefault="00805F90" w:rsidP="00805F90">
            <w:pPr>
              <w:numPr>
                <w:ilvl w:val="0"/>
                <w:numId w:val="19"/>
              </w:numPr>
              <w:spacing w:before="100" w:beforeAutospacing="1" w:after="100" w:afterAutospacing="1"/>
              <w:contextualSpacing/>
              <w:rPr>
                <w:rFonts w:ascii="Calibri" w:hAnsi="Calibri" w:cs="Calibri"/>
              </w:rPr>
            </w:pPr>
            <w:r w:rsidRPr="007136F0">
              <w:rPr>
                <w:rFonts w:ascii="Calibri" w:hAnsi="Calibri" w:cs="Calibri"/>
              </w:rPr>
              <w:t xml:space="preserve">Support the implementation of the Public Finance for SDGs Collaborative launched under the Sevilla Platform for Action (SPA) and facilitate coordination with other public finance related SPA initiatives. </w:t>
            </w:r>
          </w:p>
          <w:p w14:paraId="3107A99E" w14:textId="53B6AB3F" w:rsidR="00805F90" w:rsidRPr="007136F0" w:rsidRDefault="00805F90" w:rsidP="00805F90">
            <w:pPr>
              <w:numPr>
                <w:ilvl w:val="0"/>
                <w:numId w:val="19"/>
              </w:numPr>
              <w:spacing w:before="100" w:beforeAutospacing="1" w:after="100" w:afterAutospacing="1"/>
              <w:contextualSpacing/>
              <w:rPr>
                <w:rFonts w:ascii="Calibri" w:hAnsi="Calibri" w:cs="Calibri"/>
                <w:lang w:val="en-GB"/>
              </w:rPr>
            </w:pPr>
            <w:r w:rsidRPr="007136F0">
              <w:rPr>
                <w:rFonts w:ascii="Calibri" w:hAnsi="Calibri" w:cs="Calibri"/>
              </w:rPr>
              <w:t>Contribute to strategic partnerships and resource mobilization efforts by preparing, adapting and coordinating concept notes/proposals for various partners.</w:t>
            </w:r>
          </w:p>
        </w:tc>
        <w:tc>
          <w:tcPr>
            <w:tcW w:w="1005" w:type="dxa"/>
          </w:tcPr>
          <w:p w14:paraId="0E02DEFB" w14:textId="0CA4F9CD" w:rsidR="00805F90" w:rsidRPr="007136F0" w:rsidRDefault="00C02773" w:rsidP="00805F90">
            <w:pPr>
              <w:jc w:val="center"/>
              <w:rPr>
                <w:rFonts w:asciiTheme="minorHAnsi" w:hAnsiTheme="minorHAnsi" w:cs="Arial"/>
                <w:b/>
                <w:lang w:val="en-GB"/>
              </w:rPr>
            </w:pPr>
            <w:r w:rsidRPr="007136F0">
              <w:rPr>
                <w:rFonts w:asciiTheme="minorHAnsi" w:hAnsiTheme="minorHAnsi" w:cs="Arial"/>
                <w:b/>
                <w:lang w:val="en-GB"/>
              </w:rPr>
              <w:t>25</w:t>
            </w:r>
            <w:r w:rsidR="00805F90" w:rsidRPr="007136F0">
              <w:rPr>
                <w:rFonts w:asciiTheme="minorHAnsi" w:hAnsiTheme="minorHAnsi" w:cs="Arial"/>
                <w:b/>
                <w:lang w:val="en-GB"/>
              </w:rPr>
              <w:t>%</w:t>
            </w:r>
          </w:p>
        </w:tc>
      </w:tr>
      <w:tr w:rsidR="00805F90" w:rsidRPr="007136F0" w14:paraId="35A7688B" w14:textId="77777777" w:rsidTr="00F71D0D">
        <w:tc>
          <w:tcPr>
            <w:tcW w:w="510" w:type="dxa"/>
          </w:tcPr>
          <w:p w14:paraId="5BB22503" w14:textId="51E339A5" w:rsidR="00805F90" w:rsidRPr="007136F0" w:rsidRDefault="00B11819" w:rsidP="00805F90">
            <w:pPr>
              <w:rPr>
                <w:rFonts w:asciiTheme="minorHAnsi" w:hAnsiTheme="minorHAnsi"/>
                <w:lang w:val="en-GB"/>
              </w:rPr>
            </w:pPr>
            <w:r w:rsidRPr="007136F0">
              <w:rPr>
                <w:rFonts w:asciiTheme="minorHAnsi" w:hAnsiTheme="minorHAnsi"/>
                <w:lang w:val="en-GB"/>
              </w:rPr>
              <w:t>4</w:t>
            </w:r>
          </w:p>
        </w:tc>
        <w:tc>
          <w:tcPr>
            <w:tcW w:w="7310" w:type="dxa"/>
          </w:tcPr>
          <w:p w14:paraId="4FB70ACE" w14:textId="77777777" w:rsidR="00805F90" w:rsidRPr="007136F0" w:rsidRDefault="00805F90" w:rsidP="00805F90">
            <w:pPr>
              <w:rPr>
                <w:rFonts w:asciiTheme="minorHAnsi" w:hAnsiTheme="minorHAnsi"/>
                <w:b/>
                <w:bCs/>
                <w:lang w:val="en-GB"/>
              </w:rPr>
            </w:pPr>
            <w:r w:rsidRPr="007136F0">
              <w:rPr>
                <w:rFonts w:asciiTheme="minorHAnsi" w:hAnsiTheme="minorHAnsi"/>
                <w:b/>
                <w:bCs/>
                <w:lang w:val="en-GB"/>
              </w:rPr>
              <w:t>Others</w:t>
            </w:r>
          </w:p>
          <w:p w14:paraId="5C42C38C" w14:textId="566E2DD3" w:rsidR="00805F90" w:rsidRPr="007136F0" w:rsidRDefault="00805F90" w:rsidP="00805F90">
            <w:pPr>
              <w:pStyle w:val="ListParagraph"/>
              <w:numPr>
                <w:ilvl w:val="0"/>
                <w:numId w:val="26"/>
              </w:numPr>
              <w:rPr>
                <w:rFonts w:asciiTheme="minorHAnsi" w:hAnsiTheme="minorHAnsi"/>
                <w:b/>
                <w:bCs/>
                <w:lang w:val="en-GB"/>
              </w:rPr>
            </w:pPr>
            <w:r w:rsidRPr="007136F0">
              <w:rPr>
                <w:rFonts w:ascii="Calibri" w:hAnsi="Calibri" w:cs="Calibri"/>
                <w:lang w:val="en-GB"/>
              </w:rPr>
              <w:t>Support other/ad hoc activities as seen relevant and needed.</w:t>
            </w:r>
          </w:p>
        </w:tc>
        <w:tc>
          <w:tcPr>
            <w:tcW w:w="1005" w:type="dxa"/>
          </w:tcPr>
          <w:p w14:paraId="0854BB70" w14:textId="25642A2A" w:rsidR="00805F90" w:rsidRPr="007136F0" w:rsidRDefault="00C0525C" w:rsidP="00805F90">
            <w:pPr>
              <w:ind w:left="-34"/>
              <w:jc w:val="center"/>
              <w:rPr>
                <w:rFonts w:asciiTheme="minorHAnsi" w:hAnsiTheme="minorHAnsi"/>
                <w:b/>
                <w:bCs/>
                <w:lang w:val="en-GB"/>
              </w:rPr>
            </w:pPr>
            <w:r w:rsidRPr="007136F0">
              <w:rPr>
                <w:rFonts w:asciiTheme="minorHAnsi" w:hAnsiTheme="minorHAnsi" w:cs="Arial"/>
                <w:b/>
                <w:lang w:val="en-GB"/>
              </w:rPr>
              <w:t>10</w:t>
            </w:r>
            <w:r w:rsidR="00805F90" w:rsidRPr="007136F0">
              <w:rPr>
                <w:rFonts w:asciiTheme="minorHAnsi" w:hAnsiTheme="minorHAnsi" w:cs="Arial"/>
                <w:b/>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22387005" w:rsidR="00D70AF4" w:rsidRPr="00435F5A" w:rsidRDefault="00D70AF4" w:rsidP="00E31C10">
      <w:pPr>
        <w:rPr>
          <w:rFonts w:asciiTheme="minorHAnsi" w:hAnsiTheme="minorHAnsi" w:cs="Arial"/>
        </w:rPr>
      </w:pPr>
      <w:r w:rsidRPr="00435F5A">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Theme="minorHAnsi" w:hAnsiTheme="minorHAnsi" w:cs="Arial"/>
              </w:rPr>
              <w:id w:val="1987887401"/>
              <w:placeholder>
                <w:docPart w:val="D128F7C962604571A08A76968C585036"/>
              </w:placeholder>
            </w:sdtPr>
            <w:sdtEndPr>
              <w:rPr>
                <w:rFonts w:ascii="Calibri" w:hAnsi="Calibri" w:cs="Calibri"/>
                <w:sz w:val="22"/>
                <w:szCs w:val="22"/>
                <w:lang w:val="en-GB"/>
              </w:rPr>
            </w:sdtEndPr>
            <w:sdtContent>
              <w:r w:rsidR="00435F5A" w:rsidRPr="0053318A">
                <w:rPr>
                  <w:rFonts w:asciiTheme="minorHAnsi" w:hAnsiTheme="minorHAnsi" w:cs="Arial"/>
                </w:rPr>
                <w:t>Economics, public finance, public policy, international development, law, or other closely related fields with a focus on public finance.</w:t>
              </w:r>
              <w:r w:rsidR="00435F5A" w:rsidRPr="00435F5A">
                <w:rPr>
                  <w:rFonts w:ascii="Calibri" w:hAnsi="Calibri" w:cs="Calibri"/>
                  <w:sz w:val="22"/>
                  <w:szCs w:val="22"/>
                  <w:lang w:val="en-GB"/>
                </w:rPr>
                <w:t xml:space="preserve"> </w:t>
              </w:r>
            </w:sdtContent>
          </w:sdt>
        </w:sdtContent>
      </w:sdt>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31FBC8B8" w:rsidR="00414B5C" w:rsidRDefault="000A3395"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P</w:t>
      </w:r>
      <w:r w:rsidRPr="000A3395">
        <w:rPr>
          <w:rFonts w:asciiTheme="minorHAnsi" w:hAnsiTheme="minorHAnsi" w:cs="Arial"/>
          <w:sz w:val="20"/>
        </w:rPr>
        <w:t>roficiency</w:t>
      </w:r>
      <w:r>
        <w:rPr>
          <w:rFonts w:asciiTheme="minorHAnsi" w:hAnsiTheme="minorHAnsi" w:cs="Arial"/>
          <w:sz w:val="20"/>
        </w:rPr>
        <w:t xml:space="preserve"> in</w:t>
      </w:r>
      <w:r w:rsidR="0017368E" w:rsidRPr="0017368E">
        <w:rPr>
          <w:rFonts w:asciiTheme="minorHAnsi" w:hAnsiTheme="minorHAnsi" w:cs="Arial"/>
          <w:sz w:val="20"/>
        </w:rPr>
        <w:t xml:space="preserve"> Microsoft Office productivity </w:t>
      </w:r>
      <w:proofErr w:type="gramStart"/>
      <w:r w:rsidR="0017368E" w:rsidRPr="0017368E">
        <w:rPr>
          <w:rFonts w:asciiTheme="minorHAnsi" w:hAnsiTheme="minorHAnsi" w:cs="Arial"/>
          <w:sz w:val="20"/>
        </w:rPr>
        <w:t>tools</w:t>
      </w:r>
      <w:r w:rsidR="00B12B04">
        <w:rPr>
          <w:rFonts w:asciiTheme="minorHAnsi" w:hAnsiTheme="minorHAnsi" w:cs="Arial"/>
          <w:sz w:val="20"/>
        </w:rPr>
        <w:t>;</w:t>
      </w:r>
      <w:proofErr w:type="gramEnd"/>
    </w:p>
    <w:p w14:paraId="2328236F" w14:textId="51287CC0" w:rsidR="00D91EE0" w:rsidRDefault="000A3395"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E</w:t>
      </w:r>
      <w:r w:rsidRPr="000A3395">
        <w:rPr>
          <w:rFonts w:asciiTheme="minorHAnsi" w:hAnsiTheme="minorHAnsi" w:cs="Arial"/>
          <w:sz w:val="20"/>
        </w:rPr>
        <w:t>xperience with data analysis and visualization tools</w:t>
      </w:r>
      <w:r>
        <w:rPr>
          <w:rFonts w:asciiTheme="minorHAnsi" w:hAnsiTheme="minorHAnsi" w:cs="Arial"/>
          <w:sz w:val="20"/>
        </w:rPr>
        <w:t>, such as Power-</w:t>
      </w:r>
      <w:proofErr w:type="gramStart"/>
      <w:r>
        <w:rPr>
          <w:rFonts w:asciiTheme="minorHAnsi" w:hAnsiTheme="minorHAnsi" w:cs="Arial"/>
          <w:sz w:val="20"/>
        </w:rPr>
        <w:t>BI;</w:t>
      </w:r>
      <w:proofErr w:type="gramEnd"/>
    </w:p>
    <w:p w14:paraId="54334CF7" w14:textId="4945599A" w:rsidR="000A3395" w:rsidRDefault="000A3395"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F</w:t>
      </w:r>
      <w:r w:rsidRPr="000A3395">
        <w:rPr>
          <w:rFonts w:asciiTheme="minorHAnsi" w:hAnsiTheme="minorHAnsi" w:cs="Arial"/>
          <w:sz w:val="20"/>
        </w:rPr>
        <w:t>amiliarity with digital collaboration platforms.</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lastRenderedPageBreak/>
        <w:t>Language skills</w:t>
      </w:r>
      <w:r w:rsidR="0017368E" w:rsidRPr="0017368E">
        <w:rPr>
          <w:rFonts w:asciiTheme="minorHAnsi" w:hAnsiTheme="minorHAnsi" w:cs="Arial"/>
          <w:b/>
          <w:sz w:val="20"/>
        </w:rPr>
        <w:t>:</w:t>
      </w:r>
    </w:p>
    <w:p w14:paraId="5CC8D0A5" w14:textId="49830EF6" w:rsidR="004300EB" w:rsidRPr="00135960" w:rsidRDefault="000A3395"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r>
        <w:rPr>
          <w:rFonts w:asciiTheme="minorHAnsi" w:hAnsiTheme="minorHAnsi" w:cs="Arial"/>
          <w:sz w:val="20"/>
        </w:rPr>
        <w:t xml:space="preserve"> </w:t>
      </w:r>
    </w:p>
    <w:p w14:paraId="2E91CF60" w14:textId="0A5491E7" w:rsidR="00414B5C"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0A3395">
        <w:rPr>
          <w:rFonts w:asciiTheme="minorHAnsi" w:hAnsiTheme="minorHAnsi" w:cs="Arial"/>
          <w:sz w:val="20"/>
        </w:rPr>
        <w:t>Spanish</w:t>
      </w:r>
      <w:r w:rsidRPr="0033185A">
        <w:rPr>
          <w:rFonts w:asciiTheme="minorHAnsi" w:hAnsiTheme="minorHAnsi" w:cs="Arial"/>
          <w:sz w:val="20"/>
        </w:rPr>
        <w:t xml:space="preserve"> is an </w:t>
      </w:r>
      <w:proofErr w:type="gramStart"/>
      <w:r w:rsidRPr="0033185A">
        <w:rPr>
          <w:rFonts w:asciiTheme="minorHAnsi" w:hAnsiTheme="minorHAnsi" w:cs="Arial"/>
          <w:sz w:val="20"/>
        </w:rPr>
        <w:t>advantage</w:t>
      </w:r>
      <w:r w:rsidR="00BA5A5A">
        <w:rPr>
          <w:rFonts w:asciiTheme="minorHAnsi" w:hAnsiTheme="minorHAnsi" w:cs="Arial"/>
          <w:sz w:val="20"/>
        </w:rPr>
        <w:t>;</w:t>
      </w:r>
      <w:proofErr w:type="gramEnd"/>
    </w:p>
    <w:p w14:paraId="3EAAD8FF" w14:textId="5D61054E" w:rsidR="00BA5A5A" w:rsidRPr="0017368E" w:rsidRDefault="00BA5A5A" w:rsidP="004300E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Knowledge of another UN language is asset. </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385E4" w14:textId="77777777" w:rsidR="00ED14DE" w:rsidRDefault="00ED14DE">
      <w:r>
        <w:separator/>
      </w:r>
    </w:p>
  </w:endnote>
  <w:endnote w:type="continuationSeparator" w:id="0">
    <w:p w14:paraId="565A1DDB" w14:textId="77777777" w:rsidR="00ED14DE" w:rsidRDefault="00ED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1BE9" w14:textId="77777777" w:rsidR="00ED14DE" w:rsidRDefault="00ED14DE">
      <w:r>
        <w:separator/>
      </w:r>
    </w:p>
  </w:footnote>
  <w:footnote w:type="continuationSeparator" w:id="0">
    <w:p w14:paraId="0B4306AF" w14:textId="77777777" w:rsidR="00ED14DE" w:rsidRDefault="00ED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52DEA"/>
    <w:multiLevelType w:val="multilevel"/>
    <w:tmpl w:val="462C8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32028D"/>
    <w:multiLevelType w:val="hybridMultilevel"/>
    <w:tmpl w:val="7CE84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27903"/>
    <w:multiLevelType w:val="hybridMultilevel"/>
    <w:tmpl w:val="5CE2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382462"/>
    <w:multiLevelType w:val="hybridMultilevel"/>
    <w:tmpl w:val="E502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8344406">
    <w:abstractNumId w:val="12"/>
  </w:num>
  <w:num w:numId="2" w16cid:durableId="2127196241">
    <w:abstractNumId w:val="18"/>
  </w:num>
  <w:num w:numId="3" w16cid:durableId="58022241">
    <w:abstractNumId w:val="4"/>
  </w:num>
  <w:num w:numId="4" w16cid:durableId="1551728120">
    <w:abstractNumId w:val="9"/>
  </w:num>
  <w:num w:numId="5" w16cid:durableId="1422944979">
    <w:abstractNumId w:val="17"/>
  </w:num>
  <w:num w:numId="6" w16cid:durableId="421681460">
    <w:abstractNumId w:val="15"/>
  </w:num>
  <w:num w:numId="7" w16cid:durableId="99224326">
    <w:abstractNumId w:val="20"/>
  </w:num>
  <w:num w:numId="8" w16cid:durableId="1996906782">
    <w:abstractNumId w:val="7"/>
  </w:num>
  <w:num w:numId="9" w16cid:durableId="603998466">
    <w:abstractNumId w:val="21"/>
  </w:num>
  <w:num w:numId="10" w16cid:durableId="493960531">
    <w:abstractNumId w:val="0"/>
  </w:num>
  <w:num w:numId="11" w16cid:durableId="750083457">
    <w:abstractNumId w:val="10"/>
  </w:num>
  <w:num w:numId="12" w16cid:durableId="922950980">
    <w:abstractNumId w:val="5"/>
  </w:num>
  <w:num w:numId="13" w16cid:durableId="1011957892">
    <w:abstractNumId w:val="19"/>
  </w:num>
  <w:num w:numId="14" w16cid:durableId="159467277">
    <w:abstractNumId w:val="2"/>
  </w:num>
  <w:num w:numId="15" w16cid:durableId="251664055">
    <w:abstractNumId w:val="16"/>
  </w:num>
  <w:num w:numId="16" w16cid:durableId="175967127">
    <w:abstractNumId w:val="14"/>
  </w:num>
  <w:num w:numId="17" w16cid:durableId="1727072455">
    <w:abstractNumId w:val="3"/>
  </w:num>
  <w:num w:numId="18" w16cid:durableId="1824813864">
    <w:abstractNumId w:val="1"/>
  </w:num>
  <w:num w:numId="19" w16cid:durableId="843861884">
    <w:abstractNumId w:val="6"/>
  </w:num>
  <w:num w:numId="20" w16cid:durableId="369184065">
    <w:abstractNumId w:val="11"/>
  </w:num>
  <w:num w:numId="21" w16cid:durableId="189464771">
    <w:abstractNumId w:val="24"/>
  </w:num>
  <w:num w:numId="22" w16cid:durableId="71438219">
    <w:abstractNumId w:val="13"/>
  </w:num>
  <w:num w:numId="23" w16cid:durableId="1275744647">
    <w:abstractNumId w:val="8"/>
  </w:num>
  <w:num w:numId="24" w16cid:durableId="1112019170">
    <w:abstractNumId w:val="23"/>
  </w:num>
  <w:num w:numId="25" w16cid:durableId="2134471946">
    <w:abstractNumId w:val="22"/>
  </w:num>
  <w:num w:numId="26" w16cid:durableId="2090418319">
    <w:abstractNumId w:val="26"/>
  </w:num>
  <w:num w:numId="27" w16cid:durableId="18473565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A6D"/>
    <w:rsid w:val="00050DF5"/>
    <w:rsid w:val="00055936"/>
    <w:rsid w:val="00057250"/>
    <w:rsid w:val="0008016E"/>
    <w:rsid w:val="0008223F"/>
    <w:rsid w:val="00087C6F"/>
    <w:rsid w:val="00091CCC"/>
    <w:rsid w:val="000977A2"/>
    <w:rsid w:val="00097DE0"/>
    <w:rsid w:val="000A2976"/>
    <w:rsid w:val="000A3395"/>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101"/>
    <w:rsid w:val="00142758"/>
    <w:rsid w:val="00143ADE"/>
    <w:rsid w:val="00160D95"/>
    <w:rsid w:val="00162833"/>
    <w:rsid w:val="001662F0"/>
    <w:rsid w:val="00166B8B"/>
    <w:rsid w:val="00166F90"/>
    <w:rsid w:val="0017083B"/>
    <w:rsid w:val="00171B2A"/>
    <w:rsid w:val="00171BC5"/>
    <w:rsid w:val="00172A5A"/>
    <w:rsid w:val="00172D88"/>
    <w:rsid w:val="0017368E"/>
    <w:rsid w:val="00173CCE"/>
    <w:rsid w:val="00177A90"/>
    <w:rsid w:val="00177DD9"/>
    <w:rsid w:val="00183FE2"/>
    <w:rsid w:val="00185C5C"/>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1EA5"/>
    <w:rsid w:val="001C7DA5"/>
    <w:rsid w:val="001D46DA"/>
    <w:rsid w:val="001D4FCC"/>
    <w:rsid w:val="001D6062"/>
    <w:rsid w:val="001E07D3"/>
    <w:rsid w:val="001E2EBE"/>
    <w:rsid w:val="001E4B26"/>
    <w:rsid w:val="001F20D9"/>
    <w:rsid w:val="001F4494"/>
    <w:rsid w:val="001F70C7"/>
    <w:rsid w:val="001F7B46"/>
    <w:rsid w:val="00200495"/>
    <w:rsid w:val="00200B0F"/>
    <w:rsid w:val="00200ED5"/>
    <w:rsid w:val="00201466"/>
    <w:rsid w:val="002058F8"/>
    <w:rsid w:val="00215B50"/>
    <w:rsid w:val="00217215"/>
    <w:rsid w:val="00224DBF"/>
    <w:rsid w:val="002268B9"/>
    <w:rsid w:val="00227860"/>
    <w:rsid w:val="00241380"/>
    <w:rsid w:val="002456C7"/>
    <w:rsid w:val="00251C3E"/>
    <w:rsid w:val="00257033"/>
    <w:rsid w:val="00266529"/>
    <w:rsid w:val="00266783"/>
    <w:rsid w:val="00283201"/>
    <w:rsid w:val="00286831"/>
    <w:rsid w:val="00291269"/>
    <w:rsid w:val="002925E0"/>
    <w:rsid w:val="00292BEC"/>
    <w:rsid w:val="002933D1"/>
    <w:rsid w:val="0029621A"/>
    <w:rsid w:val="002A30C7"/>
    <w:rsid w:val="002B1DE1"/>
    <w:rsid w:val="002C3741"/>
    <w:rsid w:val="002D3448"/>
    <w:rsid w:val="002D3BF1"/>
    <w:rsid w:val="002D3DD5"/>
    <w:rsid w:val="002E35FC"/>
    <w:rsid w:val="002E4600"/>
    <w:rsid w:val="002E52CA"/>
    <w:rsid w:val="002E7B29"/>
    <w:rsid w:val="002F02BB"/>
    <w:rsid w:val="002F34B8"/>
    <w:rsid w:val="002F4E0E"/>
    <w:rsid w:val="0030680B"/>
    <w:rsid w:val="00313014"/>
    <w:rsid w:val="00313DDD"/>
    <w:rsid w:val="00314D68"/>
    <w:rsid w:val="00315C76"/>
    <w:rsid w:val="00321178"/>
    <w:rsid w:val="00321618"/>
    <w:rsid w:val="003314D6"/>
    <w:rsid w:val="0033185A"/>
    <w:rsid w:val="00342B64"/>
    <w:rsid w:val="003434BF"/>
    <w:rsid w:val="003458F4"/>
    <w:rsid w:val="0035036A"/>
    <w:rsid w:val="00350940"/>
    <w:rsid w:val="003518B1"/>
    <w:rsid w:val="0035256D"/>
    <w:rsid w:val="00356D4E"/>
    <w:rsid w:val="0036528F"/>
    <w:rsid w:val="003668AE"/>
    <w:rsid w:val="0038031E"/>
    <w:rsid w:val="003838F0"/>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D5E10"/>
    <w:rsid w:val="003E5A99"/>
    <w:rsid w:val="003F35C2"/>
    <w:rsid w:val="003F47AD"/>
    <w:rsid w:val="00400665"/>
    <w:rsid w:val="004020C9"/>
    <w:rsid w:val="004075BD"/>
    <w:rsid w:val="00413B1F"/>
    <w:rsid w:val="00414B5C"/>
    <w:rsid w:val="004151A6"/>
    <w:rsid w:val="004219A3"/>
    <w:rsid w:val="0042396C"/>
    <w:rsid w:val="004300EB"/>
    <w:rsid w:val="00431887"/>
    <w:rsid w:val="00435B34"/>
    <w:rsid w:val="00435F5A"/>
    <w:rsid w:val="00443590"/>
    <w:rsid w:val="00443B8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0720"/>
    <w:rsid w:val="004F20A1"/>
    <w:rsid w:val="0050292B"/>
    <w:rsid w:val="00502EDF"/>
    <w:rsid w:val="00503FD8"/>
    <w:rsid w:val="0051361E"/>
    <w:rsid w:val="00517007"/>
    <w:rsid w:val="005322C6"/>
    <w:rsid w:val="0053318A"/>
    <w:rsid w:val="005337BB"/>
    <w:rsid w:val="005539A9"/>
    <w:rsid w:val="005556B7"/>
    <w:rsid w:val="0055703D"/>
    <w:rsid w:val="005570B5"/>
    <w:rsid w:val="00567B61"/>
    <w:rsid w:val="00570CF2"/>
    <w:rsid w:val="005747F8"/>
    <w:rsid w:val="005877B3"/>
    <w:rsid w:val="00590964"/>
    <w:rsid w:val="00591376"/>
    <w:rsid w:val="0059342C"/>
    <w:rsid w:val="005951AD"/>
    <w:rsid w:val="005A4AFC"/>
    <w:rsid w:val="005A5E7C"/>
    <w:rsid w:val="005B5CF3"/>
    <w:rsid w:val="005B6322"/>
    <w:rsid w:val="005C2194"/>
    <w:rsid w:val="005C31DB"/>
    <w:rsid w:val="005C6F8C"/>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9D0"/>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136F0"/>
    <w:rsid w:val="00721D95"/>
    <w:rsid w:val="00723D29"/>
    <w:rsid w:val="00732AB0"/>
    <w:rsid w:val="007376C8"/>
    <w:rsid w:val="00741F7F"/>
    <w:rsid w:val="0075041A"/>
    <w:rsid w:val="00751148"/>
    <w:rsid w:val="0075373F"/>
    <w:rsid w:val="00762186"/>
    <w:rsid w:val="00765F30"/>
    <w:rsid w:val="00774376"/>
    <w:rsid w:val="00777FF5"/>
    <w:rsid w:val="007803A2"/>
    <w:rsid w:val="00783EF5"/>
    <w:rsid w:val="0078790D"/>
    <w:rsid w:val="00793D2C"/>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2A60"/>
    <w:rsid w:val="007E56B0"/>
    <w:rsid w:val="007F00C2"/>
    <w:rsid w:val="007F199F"/>
    <w:rsid w:val="007F19E6"/>
    <w:rsid w:val="007F2A80"/>
    <w:rsid w:val="007F2DE0"/>
    <w:rsid w:val="007F35EE"/>
    <w:rsid w:val="007F3E04"/>
    <w:rsid w:val="007F5D82"/>
    <w:rsid w:val="00805514"/>
    <w:rsid w:val="00805F90"/>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1909"/>
    <w:rsid w:val="008D3DA8"/>
    <w:rsid w:val="008E54BD"/>
    <w:rsid w:val="008F1803"/>
    <w:rsid w:val="008F306F"/>
    <w:rsid w:val="009009F8"/>
    <w:rsid w:val="00904C18"/>
    <w:rsid w:val="00905FCC"/>
    <w:rsid w:val="009065B2"/>
    <w:rsid w:val="00907452"/>
    <w:rsid w:val="00923134"/>
    <w:rsid w:val="009238B7"/>
    <w:rsid w:val="00923BF4"/>
    <w:rsid w:val="009246E4"/>
    <w:rsid w:val="0092714A"/>
    <w:rsid w:val="00931A7D"/>
    <w:rsid w:val="009330DE"/>
    <w:rsid w:val="009343D5"/>
    <w:rsid w:val="00937496"/>
    <w:rsid w:val="009502ED"/>
    <w:rsid w:val="009546CB"/>
    <w:rsid w:val="0095605D"/>
    <w:rsid w:val="00956C13"/>
    <w:rsid w:val="009701BF"/>
    <w:rsid w:val="009702D6"/>
    <w:rsid w:val="00973F24"/>
    <w:rsid w:val="009847E4"/>
    <w:rsid w:val="00986414"/>
    <w:rsid w:val="009948B3"/>
    <w:rsid w:val="009B52B5"/>
    <w:rsid w:val="009B7E75"/>
    <w:rsid w:val="009C05C4"/>
    <w:rsid w:val="009C11D3"/>
    <w:rsid w:val="009C7008"/>
    <w:rsid w:val="009C7213"/>
    <w:rsid w:val="009D3290"/>
    <w:rsid w:val="009D49DD"/>
    <w:rsid w:val="009D49F4"/>
    <w:rsid w:val="009E38C6"/>
    <w:rsid w:val="009E52BF"/>
    <w:rsid w:val="009E6EC5"/>
    <w:rsid w:val="009F4B4E"/>
    <w:rsid w:val="009F515F"/>
    <w:rsid w:val="009F6FFA"/>
    <w:rsid w:val="00A04B2A"/>
    <w:rsid w:val="00A120B3"/>
    <w:rsid w:val="00A13D39"/>
    <w:rsid w:val="00A1571A"/>
    <w:rsid w:val="00A22A18"/>
    <w:rsid w:val="00A23C57"/>
    <w:rsid w:val="00A25374"/>
    <w:rsid w:val="00A272B0"/>
    <w:rsid w:val="00A47808"/>
    <w:rsid w:val="00A551BB"/>
    <w:rsid w:val="00A56DAF"/>
    <w:rsid w:val="00A601F8"/>
    <w:rsid w:val="00A66C83"/>
    <w:rsid w:val="00A77C3F"/>
    <w:rsid w:val="00A830FB"/>
    <w:rsid w:val="00A858BC"/>
    <w:rsid w:val="00A85F52"/>
    <w:rsid w:val="00A93F2A"/>
    <w:rsid w:val="00A94A91"/>
    <w:rsid w:val="00A95B68"/>
    <w:rsid w:val="00A964CB"/>
    <w:rsid w:val="00AA211C"/>
    <w:rsid w:val="00AA71BE"/>
    <w:rsid w:val="00AC365A"/>
    <w:rsid w:val="00AC4F73"/>
    <w:rsid w:val="00AE11A7"/>
    <w:rsid w:val="00AE467E"/>
    <w:rsid w:val="00AF4FF8"/>
    <w:rsid w:val="00AF7369"/>
    <w:rsid w:val="00AF769E"/>
    <w:rsid w:val="00B001DC"/>
    <w:rsid w:val="00B07E49"/>
    <w:rsid w:val="00B11819"/>
    <w:rsid w:val="00B12895"/>
    <w:rsid w:val="00B12B04"/>
    <w:rsid w:val="00B16707"/>
    <w:rsid w:val="00B179EA"/>
    <w:rsid w:val="00B321D9"/>
    <w:rsid w:val="00B34135"/>
    <w:rsid w:val="00B4054C"/>
    <w:rsid w:val="00B47148"/>
    <w:rsid w:val="00B50560"/>
    <w:rsid w:val="00B50EF3"/>
    <w:rsid w:val="00B529CD"/>
    <w:rsid w:val="00B563C7"/>
    <w:rsid w:val="00B60C9A"/>
    <w:rsid w:val="00B650C5"/>
    <w:rsid w:val="00B706C8"/>
    <w:rsid w:val="00B708DB"/>
    <w:rsid w:val="00B82569"/>
    <w:rsid w:val="00B90DDF"/>
    <w:rsid w:val="00B94616"/>
    <w:rsid w:val="00B96211"/>
    <w:rsid w:val="00B96A0A"/>
    <w:rsid w:val="00B97284"/>
    <w:rsid w:val="00BA08EC"/>
    <w:rsid w:val="00BA1292"/>
    <w:rsid w:val="00BA493E"/>
    <w:rsid w:val="00BA5A5A"/>
    <w:rsid w:val="00BA5C0B"/>
    <w:rsid w:val="00BB0BB9"/>
    <w:rsid w:val="00BB16DD"/>
    <w:rsid w:val="00BB2872"/>
    <w:rsid w:val="00BB3493"/>
    <w:rsid w:val="00BC0924"/>
    <w:rsid w:val="00BC2445"/>
    <w:rsid w:val="00BC3CD7"/>
    <w:rsid w:val="00BC5AEF"/>
    <w:rsid w:val="00BD20EA"/>
    <w:rsid w:val="00BD5B10"/>
    <w:rsid w:val="00BD69BC"/>
    <w:rsid w:val="00BE0BE7"/>
    <w:rsid w:val="00BE1FD3"/>
    <w:rsid w:val="00C02773"/>
    <w:rsid w:val="00C03A19"/>
    <w:rsid w:val="00C0525C"/>
    <w:rsid w:val="00C06C6D"/>
    <w:rsid w:val="00C128CD"/>
    <w:rsid w:val="00C1384B"/>
    <w:rsid w:val="00C15785"/>
    <w:rsid w:val="00C25886"/>
    <w:rsid w:val="00C262C3"/>
    <w:rsid w:val="00C45A09"/>
    <w:rsid w:val="00C51BD8"/>
    <w:rsid w:val="00C61A97"/>
    <w:rsid w:val="00C63661"/>
    <w:rsid w:val="00C6546B"/>
    <w:rsid w:val="00C67142"/>
    <w:rsid w:val="00C70BFB"/>
    <w:rsid w:val="00C823C4"/>
    <w:rsid w:val="00C84D3F"/>
    <w:rsid w:val="00C9769A"/>
    <w:rsid w:val="00CA45D2"/>
    <w:rsid w:val="00CA49D1"/>
    <w:rsid w:val="00CA57B6"/>
    <w:rsid w:val="00CA7311"/>
    <w:rsid w:val="00CA7FAE"/>
    <w:rsid w:val="00CB3AF6"/>
    <w:rsid w:val="00CB6A56"/>
    <w:rsid w:val="00CC1514"/>
    <w:rsid w:val="00CC6428"/>
    <w:rsid w:val="00CD4816"/>
    <w:rsid w:val="00CD4AA2"/>
    <w:rsid w:val="00CE55A0"/>
    <w:rsid w:val="00CF0790"/>
    <w:rsid w:val="00CF0B21"/>
    <w:rsid w:val="00CF4890"/>
    <w:rsid w:val="00CF678B"/>
    <w:rsid w:val="00CF6BA2"/>
    <w:rsid w:val="00D00508"/>
    <w:rsid w:val="00D05A80"/>
    <w:rsid w:val="00D06A94"/>
    <w:rsid w:val="00D12525"/>
    <w:rsid w:val="00D17E6C"/>
    <w:rsid w:val="00D20CAA"/>
    <w:rsid w:val="00D254F6"/>
    <w:rsid w:val="00D274D0"/>
    <w:rsid w:val="00D35F0A"/>
    <w:rsid w:val="00D46638"/>
    <w:rsid w:val="00D522CE"/>
    <w:rsid w:val="00D53E47"/>
    <w:rsid w:val="00D60425"/>
    <w:rsid w:val="00D70AF4"/>
    <w:rsid w:val="00D71594"/>
    <w:rsid w:val="00D7362D"/>
    <w:rsid w:val="00D76588"/>
    <w:rsid w:val="00D80BA0"/>
    <w:rsid w:val="00D80E2B"/>
    <w:rsid w:val="00D81DD1"/>
    <w:rsid w:val="00D826E7"/>
    <w:rsid w:val="00D8576B"/>
    <w:rsid w:val="00D87BB4"/>
    <w:rsid w:val="00D91EE0"/>
    <w:rsid w:val="00D96BD9"/>
    <w:rsid w:val="00DA2B62"/>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38D4"/>
    <w:rsid w:val="00E36295"/>
    <w:rsid w:val="00E42C2F"/>
    <w:rsid w:val="00E43801"/>
    <w:rsid w:val="00E4563C"/>
    <w:rsid w:val="00E539CA"/>
    <w:rsid w:val="00E560D4"/>
    <w:rsid w:val="00E56B39"/>
    <w:rsid w:val="00E60ECC"/>
    <w:rsid w:val="00E71F29"/>
    <w:rsid w:val="00E7290B"/>
    <w:rsid w:val="00E73CCD"/>
    <w:rsid w:val="00E73F0B"/>
    <w:rsid w:val="00E8606F"/>
    <w:rsid w:val="00E87C22"/>
    <w:rsid w:val="00EA063B"/>
    <w:rsid w:val="00EA0AE9"/>
    <w:rsid w:val="00EA28FF"/>
    <w:rsid w:val="00EB47A2"/>
    <w:rsid w:val="00EC0FF7"/>
    <w:rsid w:val="00ED0C31"/>
    <w:rsid w:val="00ED14DE"/>
    <w:rsid w:val="00ED48BE"/>
    <w:rsid w:val="00EE0144"/>
    <w:rsid w:val="00EE34C2"/>
    <w:rsid w:val="00EE5405"/>
    <w:rsid w:val="00EF3CDD"/>
    <w:rsid w:val="00F06AD3"/>
    <w:rsid w:val="00F11DAF"/>
    <w:rsid w:val="00F141A1"/>
    <w:rsid w:val="00F1443F"/>
    <w:rsid w:val="00F20631"/>
    <w:rsid w:val="00F24D21"/>
    <w:rsid w:val="00F31801"/>
    <w:rsid w:val="00F3353A"/>
    <w:rsid w:val="00F36D1E"/>
    <w:rsid w:val="00F509C3"/>
    <w:rsid w:val="00F5317C"/>
    <w:rsid w:val="00F53F2B"/>
    <w:rsid w:val="00F5654C"/>
    <w:rsid w:val="00F56996"/>
    <w:rsid w:val="00F629E4"/>
    <w:rsid w:val="00F632CF"/>
    <w:rsid w:val="00F64BAA"/>
    <w:rsid w:val="00F66904"/>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275D"/>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paragraph" w:styleId="Heading3">
    <w:name w:val="heading 3"/>
    <w:basedOn w:val="Normal"/>
    <w:next w:val="Normal"/>
    <w:link w:val="Heading3Char"/>
    <w:semiHidden/>
    <w:unhideWhenUsed/>
    <w:qFormat/>
    <w:rsid w:val="00E338D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customStyle="1" w:styleId="Heading3Char">
    <w:name w:val="Heading 3 Char"/>
    <w:basedOn w:val="DefaultParagraphFont"/>
    <w:link w:val="Heading3"/>
    <w:semiHidden/>
    <w:rsid w:val="00E338D4"/>
    <w:rPr>
      <w:rFonts w:asciiTheme="majorHAnsi" w:eastAsiaTheme="majorEastAsia" w:hAnsiTheme="majorHAnsi" w:cstheme="majorBidi"/>
      <w:color w:val="1F4D78" w:themeColor="accent1" w:themeShade="7F"/>
      <w:sz w:val="24"/>
      <w:szCs w:val="24"/>
      <w:lang w:val="en-US" w:eastAsia="en-US"/>
    </w:rPr>
  </w:style>
  <w:style w:type="character" w:customStyle="1" w:styleId="normaltextrun">
    <w:name w:val="normaltextrun"/>
    <w:basedOn w:val="DefaultParagraphFont"/>
    <w:rsid w:val="00BB16DD"/>
  </w:style>
  <w:style w:type="character" w:customStyle="1" w:styleId="eop">
    <w:name w:val="eop"/>
    <w:basedOn w:val="DefaultParagraphFont"/>
    <w:rsid w:val="00BB1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85C5C"/>
    <w:rsid w:val="00283201"/>
    <w:rsid w:val="003314D6"/>
    <w:rsid w:val="005C31DB"/>
    <w:rsid w:val="006249A7"/>
    <w:rsid w:val="008A4E13"/>
    <w:rsid w:val="009357B7"/>
    <w:rsid w:val="00997F52"/>
    <w:rsid w:val="009F12C2"/>
    <w:rsid w:val="00A06C24"/>
    <w:rsid w:val="00AA14C4"/>
    <w:rsid w:val="00B245EA"/>
    <w:rsid w:val="00B706C8"/>
    <w:rsid w:val="00BB0BB9"/>
    <w:rsid w:val="00DC0F50"/>
    <w:rsid w:val="00DE6356"/>
  </w:rsids>
  <m:mathPr>
    <m:mathFont m:val="Cambria Math"/>
    <m:brkBin m:val="before"/>
    <m:brkBinSub m:val="--"/>
    <m:smallFrac m:val="0"/>
    <m:dispDef/>
    <m:lMargin m:val="0"/>
    <m:rMargin m:val="0"/>
    <m:defJc m:val="centerGroup"/>
    <m:wrapIndent m:val="1440"/>
    <m:intLim m:val="subSup"/>
    <m:naryLim m:val="undOvr"/>
  </m:mathPr>
  <w:themeFontLang w:val="en-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07AD-98D0-4FD9-8757-9632F479BF0D}">
  <ds:schemaRefs>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b36a5f9e-c147-4dc6-bd34-b28935d93d70"/>
    <ds:schemaRef ds:uri="http://schemas.microsoft.com/office/infopath/2007/PartnerControls"/>
    <ds:schemaRef ds:uri="http://schemas.openxmlformats.org/package/2006/metadata/core-properties"/>
    <ds:schemaRef ds:uri="e2d5eb27-e4b1-49f8-914a-e8e5371b07b9"/>
    <ds:schemaRef ds:uri="http://purl.org/dc/dcmitype/"/>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A1C8EEEE-09E5-4BF8-BA85-5CE08CB5C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896</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10</cp:revision>
  <dcterms:created xsi:type="dcterms:W3CDTF">2026-02-09T10:29:00Z</dcterms:created>
  <dcterms:modified xsi:type="dcterms:W3CDTF">2026-02-26T10:44:00Z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