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B0C7E">
      <w:pPr>
        <w:pStyle w:val="4"/>
        <w:ind w:left="705" w:hanging="705"/>
        <w:rPr>
          <w:sz w:val="21"/>
          <w:szCs w:val="21"/>
          <w:lang w:val="en-US"/>
        </w:rPr>
      </w:pPr>
    </w:p>
    <w:p w14:paraId="7E7B288B">
      <w:pPr>
        <w:pStyle w:val="9"/>
        <w:jc w:val="left"/>
        <w:rPr>
          <w:i/>
          <w:lang w:val="en-GB"/>
        </w:rPr>
      </w:pPr>
    </w:p>
    <w:p w14:paraId="6ABFB6D8">
      <w:pPr>
        <w:pStyle w:val="8"/>
        <w:spacing w:before="0" w:beforeAutospacing="0" w:after="0" w:afterAutospacing="0"/>
        <w:jc w:val="center"/>
        <w:rPr>
          <w:rFonts w:asciiTheme="majorHAnsi" w:hAnsiTheme="majorHAnsi"/>
          <w:b/>
          <w:color w:val="376092" w:themeColor="accent1" w:themeShade="BF"/>
          <w:sz w:val="32"/>
          <w:szCs w:val="32"/>
          <w:lang w:val="en-US"/>
        </w:rPr>
      </w:pPr>
    </w:p>
    <w:p w14:paraId="16935EE8">
      <w:pPr>
        <w:pStyle w:val="8"/>
        <w:spacing w:before="0" w:beforeAutospacing="0" w:after="0" w:afterAutospacing="0"/>
        <w:jc w:val="center"/>
        <w:rPr>
          <w:rFonts w:asciiTheme="majorHAnsi" w:hAnsiTheme="majorHAnsi"/>
          <w:b/>
          <w:color w:val="376092" w:themeColor="accent1" w:themeShade="BF"/>
          <w:sz w:val="32"/>
          <w:szCs w:val="32"/>
          <w:lang w:val="en-US"/>
        </w:rPr>
      </w:pPr>
    </w:p>
    <w:p w14:paraId="57D66092">
      <w:pPr>
        <w:pStyle w:val="8"/>
        <w:spacing w:before="0" w:beforeAutospacing="0" w:after="0" w:afterAutospacing="0"/>
        <w:jc w:val="center"/>
        <w:rPr>
          <w:rFonts w:ascii="Arial" w:hAnsi="Arial" w:cs="Arial" w:eastAsiaTheme="minorHAnsi"/>
          <w:b/>
          <w:color w:val="376092" w:themeColor="accent1" w:themeShade="BF"/>
          <w:sz w:val="32"/>
          <w:szCs w:val="32"/>
          <w:lang w:val="en-CA" w:eastAsia="en-US"/>
        </w:rPr>
      </w:pPr>
      <w:r>
        <w:rPr>
          <w:rFonts w:ascii="Arial" w:hAnsi="Arial" w:cs="Arial" w:eastAsiaTheme="minorHAnsi"/>
          <w:b/>
          <w:color w:val="376092" w:themeColor="accent1" w:themeShade="BF"/>
          <w:sz w:val="32"/>
          <w:szCs w:val="32"/>
          <w:lang w:val="en-CA" w:eastAsia="en-US"/>
        </w:rPr>
        <w:t>UNESCO Sponsored Traineeship Programme</w:t>
      </w:r>
    </w:p>
    <w:p w14:paraId="5643B4A7">
      <w:pPr>
        <w:pStyle w:val="7"/>
        <w:tabs>
          <w:tab w:val="clear" w:pos="4536"/>
          <w:tab w:val="clear" w:pos="9072"/>
        </w:tabs>
        <w:jc w:val="center"/>
        <w:rPr>
          <w:rFonts w:ascii="Arial" w:hAnsi="Arial" w:cs="Arial" w:eastAsiaTheme="minorHAnsi"/>
          <w:b/>
          <w:sz w:val="28"/>
          <w:szCs w:val="28"/>
          <w:lang w:val="en-CA" w:eastAsia="en-US"/>
        </w:rPr>
      </w:pPr>
    </w:p>
    <w:p w14:paraId="7E764EEB">
      <w:pPr>
        <w:pStyle w:val="7"/>
        <w:tabs>
          <w:tab w:val="clear" w:pos="4536"/>
          <w:tab w:val="clear" w:pos="9072"/>
        </w:tabs>
        <w:jc w:val="center"/>
        <w:rPr>
          <w:rFonts w:ascii="Arial" w:hAnsi="Arial" w:cs="Arial" w:eastAsiaTheme="minorHAnsi"/>
          <w:b/>
          <w:sz w:val="28"/>
          <w:szCs w:val="28"/>
          <w:lang w:val="en-CA" w:eastAsia="en-US"/>
        </w:rPr>
      </w:pPr>
      <w:r>
        <w:rPr>
          <w:rFonts w:ascii="Arial" w:hAnsi="Arial" w:cs="Arial" w:eastAsiaTheme="minorHAnsi"/>
          <w:b/>
          <w:sz w:val="28"/>
          <w:szCs w:val="28"/>
          <w:lang w:val="en-CA" w:eastAsia="en-US"/>
        </w:rPr>
        <w:t>Terms of Reference</w:t>
      </w:r>
    </w:p>
    <w:p w14:paraId="1BBE8EED">
      <w:pPr>
        <w:pStyle w:val="7"/>
        <w:tabs>
          <w:tab w:val="clear" w:pos="4536"/>
          <w:tab w:val="clear" w:pos="9072"/>
        </w:tabs>
        <w:jc w:val="center"/>
        <w:rPr>
          <w:rFonts w:asciiTheme="majorHAnsi" w:hAnsiTheme="majorHAnsi"/>
          <w:b/>
          <w:sz w:val="28"/>
          <w:szCs w:val="28"/>
          <w:lang w:val="en-US"/>
        </w:rPr>
      </w:pPr>
    </w:p>
    <w:p w14:paraId="787DCFD1">
      <w:pPr>
        <w:shd w:val="clear" w:color="auto" w:fill="D9D9D9"/>
        <w:spacing w:after="120"/>
        <w:ind w:left="240" w:right="-143" w:hanging="382"/>
        <w:jc w:val="center"/>
        <w:rPr>
          <w:rFonts w:asciiTheme="minorHAnsi" w:hAnsiTheme="minorHAnsi" w:cstheme="minorHAnsi"/>
          <w:b/>
          <w:color w:val="1F497D" w:themeColor="text2"/>
          <w:lang w:val="en-US"/>
          <w14:textFill>
            <w14:solidFill>
              <w14:schemeClr w14:val="tx2"/>
            </w14:solidFill>
          </w14:textFill>
        </w:rPr>
      </w:pPr>
      <w:r>
        <w:rPr>
          <w:rFonts w:asciiTheme="minorHAnsi" w:hAnsiTheme="minorHAnsi" w:cstheme="minorHAnsi"/>
          <w:b/>
          <w:color w:val="1F497D" w:themeColor="text2"/>
          <w:lang w:val="en-US"/>
          <w14:textFill>
            <w14:solidFill>
              <w14:schemeClr w14:val="tx2"/>
            </w14:solidFill>
          </w14:textFill>
        </w:rPr>
        <w:t xml:space="preserve">GENERAL INFORMATION </w:t>
      </w:r>
    </w:p>
    <w:p w14:paraId="0E97A747">
      <w:pPr>
        <w:spacing w:after="120"/>
        <w:rPr>
          <w:rFonts w:asciiTheme="minorHAnsi" w:hAnsiTheme="minorHAnsi" w:cstheme="minorHAnsi"/>
          <w:b/>
          <w:sz w:val="22"/>
          <w:szCs w:val="22"/>
          <w:lang w:val="en-US"/>
        </w:rPr>
      </w:pPr>
      <w:r>
        <w:rPr>
          <w:rFonts w:asciiTheme="minorHAnsi" w:hAnsiTheme="minorHAnsi" w:cstheme="minorHAnsi"/>
          <w:b/>
          <w:lang w:val="en-US"/>
        </w:rPr>
        <w:t xml:space="preserve">Title: </w:t>
      </w:r>
      <w:r>
        <w:rPr>
          <w:rFonts w:hint="eastAsia" w:asciiTheme="minorHAnsi" w:hAnsiTheme="minorHAnsi" w:cstheme="minorHAnsi"/>
          <w:bCs/>
          <w:lang w:val="en-US"/>
        </w:rPr>
        <w:t>Trainee - UNITWIN_UNESCO_Chairs Programme</w:t>
      </w:r>
    </w:p>
    <w:p w14:paraId="0D9A8E33">
      <w:pPr>
        <w:spacing w:after="120"/>
        <w:rPr>
          <w:rFonts w:asciiTheme="minorHAnsi" w:hAnsiTheme="minorHAnsi" w:cstheme="minorHAnsi"/>
          <w:b/>
          <w:sz w:val="22"/>
          <w:szCs w:val="22"/>
          <w:lang w:val="en-US"/>
        </w:rPr>
      </w:pPr>
      <w:r>
        <w:rPr>
          <w:rFonts w:asciiTheme="minorHAnsi" w:hAnsiTheme="minorHAnsi" w:cstheme="minorHAnsi"/>
          <w:b/>
          <w:sz w:val="22"/>
          <w:szCs w:val="22"/>
          <w:lang w:val="en-US"/>
        </w:rPr>
        <w:t>Duration:</w:t>
      </w:r>
      <w:r>
        <w:rPr>
          <w:rFonts w:asciiTheme="minorHAnsi" w:hAnsiTheme="minorHAnsi" w:cstheme="minorHAnsi"/>
          <w:b/>
          <w:sz w:val="22"/>
          <w:szCs w:val="22"/>
          <w:lang w:val="en-US"/>
        </w:rPr>
        <w:tab/>
      </w:r>
      <w:r>
        <w:rPr>
          <w:rFonts w:asciiTheme="minorHAnsi" w:hAnsiTheme="minorHAnsi" w:cstheme="minorHAnsi"/>
          <w:b/>
          <w:sz w:val="22"/>
          <w:szCs w:val="22"/>
          <w:lang w:val="en-US"/>
        </w:rPr>
        <w:tab/>
      </w:r>
      <w:r>
        <w:rPr>
          <w:rFonts w:asciiTheme="minorHAnsi" w:hAnsiTheme="minorHAnsi" w:cstheme="minorHAnsi"/>
          <w:b/>
          <w:sz w:val="22"/>
          <w:szCs w:val="22"/>
          <w:lang w:val="en-US"/>
        </w:rPr>
        <w:tab/>
      </w:r>
      <w:r>
        <w:rPr>
          <w:rFonts w:asciiTheme="minorHAnsi" w:hAnsiTheme="minorHAnsi" w:cstheme="minorHAnsi"/>
          <w:bCs/>
          <w:sz w:val="22"/>
          <w:szCs w:val="22"/>
          <w:lang w:val="en-US"/>
        </w:rPr>
        <w:t>12 months</w:t>
      </w:r>
      <w:bookmarkStart w:id="0" w:name="_GoBack"/>
      <w:bookmarkEnd w:id="0"/>
    </w:p>
    <w:p w14:paraId="7D4DE502">
      <w:pPr>
        <w:spacing w:after="120"/>
        <w:rPr>
          <w:rFonts w:asciiTheme="minorHAnsi" w:hAnsiTheme="minorHAnsi" w:cstheme="minorHAnsi"/>
          <w:b/>
          <w:sz w:val="22"/>
          <w:szCs w:val="22"/>
          <w:lang w:val="en-US"/>
        </w:rPr>
      </w:pPr>
      <w:r>
        <w:rPr>
          <w:rFonts w:asciiTheme="minorHAnsi" w:hAnsiTheme="minorHAnsi" w:cstheme="minorHAnsi"/>
          <w:b/>
          <w:sz w:val="22"/>
          <w:szCs w:val="22"/>
          <w:lang w:val="en-US"/>
        </w:rPr>
        <w:t xml:space="preserve">Location: </w:t>
      </w:r>
      <w:r>
        <w:rPr>
          <w:rFonts w:asciiTheme="minorHAnsi" w:hAnsiTheme="minorHAnsi" w:cstheme="minorHAnsi"/>
          <w:b/>
          <w:sz w:val="22"/>
          <w:szCs w:val="22"/>
          <w:lang w:val="en-US"/>
        </w:rPr>
        <w:tab/>
      </w:r>
      <w:r>
        <w:rPr>
          <w:rFonts w:asciiTheme="minorHAnsi" w:hAnsiTheme="minorHAnsi" w:cstheme="minorHAnsi"/>
          <w:b/>
          <w:sz w:val="22"/>
          <w:szCs w:val="22"/>
          <w:lang w:val="en-US"/>
        </w:rPr>
        <w:tab/>
      </w:r>
      <w:r>
        <w:rPr>
          <w:rFonts w:asciiTheme="minorHAnsi" w:hAnsiTheme="minorHAnsi" w:cstheme="minorHAnsi"/>
          <w:b/>
          <w:sz w:val="22"/>
          <w:szCs w:val="22"/>
          <w:lang w:val="en-US"/>
        </w:rPr>
        <w:tab/>
      </w:r>
      <w:r>
        <w:rPr>
          <w:rFonts w:asciiTheme="minorHAnsi" w:hAnsiTheme="minorHAnsi" w:cstheme="minorHAnsi"/>
          <w:bCs/>
          <w:sz w:val="22"/>
          <w:szCs w:val="22"/>
          <w:lang w:val="en-US"/>
        </w:rPr>
        <w:t>Paris, France</w:t>
      </w:r>
    </w:p>
    <w:p w14:paraId="30577D8E">
      <w:pPr>
        <w:spacing w:after="120"/>
        <w:rPr>
          <w:rFonts w:asciiTheme="minorHAnsi" w:hAnsiTheme="minorHAnsi" w:cstheme="minorHAnsi"/>
          <w:i/>
          <w:sz w:val="22"/>
          <w:szCs w:val="22"/>
          <w:lang w:val="en-US"/>
        </w:rPr>
      </w:pPr>
      <w:r>
        <w:rPr>
          <w:rFonts w:asciiTheme="minorHAnsi" w:hAnsiTheme="minorHAnsi" w:cstheme="minorHAnsi"/>
          <w:b/>
          <w:sz w:val="22"/>
          <w:szCs w:val="22"/>
          <w:lang w:val="en-US"/>
        </w:rPr>
        <w:t>Organizational Unit</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ab/>
      </w:r>
      <w:r>
        <w:rPr>
          <w:rFonts w:asciiTheme="minorHAnsi" w:hAnsiTheme="minorHAnsi" w:cstheme="minorHAnsi"/>
          <w:sz w:val="22"/>
          <w:szCs w:val="22"/>
          <w:lang w:val="en-US"/>
        </w:rPr>
        <w:tab/>
      </w:r>
      <w:r>
        <w:rPr>
          <w:rFonts w:asciiTheme="minorHAnsi" w:hAnsiTheme="minorHAnsi" w:cstheme="minorHAnsi"/>
          <w:iCs/>
          <w:sz w:val="22"/>
          <w:szCs w:val="22"/>
          <w:lang w:val="en-US"/>
        </w:rPr>
        <w:t>Future of Learning and Innovation Division, Education Sector</w:t>
      </w:r>
    </w:p>
    <w:p w14:paraId="55B6D107">
      <w:pPr>
        <w:spacing w:after="120"/>
        <w:ind w:left="2830" w:hanging="2830"/>
        <w:rPr>
          <w:rFonts w:asciiTheme="minorHAnsi" w:hAnsiTheme="minorHAnsi" w:cstheme="minorHAnsi"/>
          <w:b/>
          <w:sz w:val="22"/>
          <w:szCs w:val="22"/>
          <w:lang w:val="en-US"/>
        </w:rPr>
      </w:pPr>
      <w:r>
        <w:rPr>
          <w:rFonts w:asciiTheme="minorHAnsi" w:hAnsiTheme="minorHAnsi" w:cstheme="minorHAnsi"/>
          <w:b/>
          <w:sz w:val="22"/>
          <w:szCs w:val="22"/>
          <w:lang w:val="en-US"/>
        </w:rPr>
        <w:t xml:space="preserve">Supervisor (name, title): </w:t>
      </w:r>
      <w:r>
        <w:rPr>
          <w:rFonts w:asciiTheme="minorHAnsi" w:hAnsiTheme="minorHAnsi" w:cstheme="minorHAnsi"/>
          <w:b/>
          <w:sz w:val="22"/>
          <w:szCs w:val="22"/>
          <w:lang w:val="en-US"/>
        </w:rPr>
        <w:tab/>
      </w:r>
      <w:r>
        <w:rPr>
          <w:rFonts w:asciiTheme="minorHAnsi" w:hAnsiTheme="minorHAnsi" w:cstheme="minorHAnsi"/>
          <w:bCs/>
          <w:sz w:val="22"/>
          <w:szCs w:val="22"/>
          <w:lang w:val="en-US"/>
        </w:rPr>
        <w:t xml:space="preserve">Keith Holmes, Programme Specialist, Research Coordinator, UNITWIN/UNESCO Chairs Programme </w:t>
      </w:r>
    </w:p>
    <w:p w14:paraId="617DE404">
      <w:pPr>
        <w:shd w:val="clear" w:color="auto" w:fill="D9D9D9"/>
        <w:spacing w:after="120"/>
        <w:ind w:left="240" w:right="-143" w:hanging="382"/>
        <w:jc w:val="center"/>
        <w:rPr>
          <w:rFonts w:asciiTheme="minorHAnsi" w:hAnsiTheme="minorHAnsi" w:cstheme="minorHAnsi"/>
          <w:b/>
          <w:color w:val="1F497D" w:themeColor="text2"/>
          <w:lang w:val="en-GB"/>
          <w14:textFill>
            <w14:solidFill>
              <w14:schemeClr w14:val="tx2"/>
            </w14:solidFill>
          </w14:textFill>
        </w:rPr>
      </w:pPr>
      <w:r>
        <w:rPr>
          <w:rFonts w:asciiTheme="minorHAnsi" w:hAnsiTheme="minorHAnsi" w:cstheme="minorHAnsi"/>
          <w:b/>
          <w:color w:val="1F497D" w:themeColor="text2"/>
          <w:lang w:val="en-GB"/>
          <w14:textFill>
            <w14:solidFill>
              <w14:schemeClr w14:val="tx2"/>
            </w14:solidFill>
          </w14:textFill>
        </w:rPr>
        <w:t xml:space="preserve">DESCRIPTION OF THE TRAINEESHIP </w:t>
      </w:r>
    </w:p>
    <w:p w14:paraId="04FC7783">
      <w:pPr>
        <w:rPr>
          <w:rFonts w:asciiTheme="minorHAnsi" w:hAnsiTheme="minorHAnsi" w:cstheme="minorHAnsi"/>
          <w:color w:val="333333"/>
          <w:sz w:val="22"/>
          <w:szCs w:val="22"/>
          <w:shd w:val="clear" w:color="auto" w:fill="FFFFFF"/>
          <w:lang w:val="en-US"/>
        </w:rPr>
      </w:pPr>
    </w:p>
    <w:p w14:paraId="36763068">
      <w:pPr>
        <w:rPr>
          <w:rFonts w:asciiTheme="minorHAnsi" w:hAnsiTheme="minorHAnsi" w:cstheme="minorHAnsi"/>
          <w:color w:val="333333"/>
          <w:sz w:val="22"/>
          <w:szCs w:val="22"/>
          <w:shd w:val="clear" w:color="auto" w:fill="FFFFFF"/>
          <w:lang w:val="en-US"/>
        </w:rPr>
      </w:pPr>
      <w:r>
        <w:rPr>
          <w:rFonts w:asciiTheme="minorHAnsi" w:hAnsiTheme="minorHAnsi" w:cstheme="minorHAnsi"/>
          <w:color w:val="333333"/>
          <w:sz w:val="22"/>
          <w:szCs w:val="22"/>
          <w:shd w:val="clear" w:color="auto" w:fill="FFFFFF"/>
          <w:lang w:val="en-US"/>
        </w:rPr>
        <w:t>Increasingly complex and intertwined crises are undermining world peace and sustainable futures. Policy responses to these interconnected challenges require the generation and sharing of intersectoral and interdisciplinary knowledge. Yet, knowledge across the UN system all too often remains siloed and inadequate to address future challenges.  </w:t>
      </w:r>
    </w:p>
    <w:p w14:paraId="247D29B1">
      <w:pPr>
        <w:rPr>
          <w:rFonts w:asciiTheme="minorHAnsi" w:hAnsiTheme="minorHAnsi" w:cstheme="minorHAnsi"/>
          <w:color w:val="333333"/>
          <w:sz w:val="22"/>
          <w:szCs w:val="22"/>
          <w:shd w:val="clear" w:color="auto" w:fill="FFFFFF"/>
          <w:lang w:val="en-US"/>
        </w:rPr>
      </w:pPr>
    </w:p>
    <w:p w14:paraId="6F2BE23D">
      <w:pPr>
        <w:rPr>
          <w:rFonts w:asciiTheme="minorHAnsi" w:hAnsiTheme="minorHAnsi" w:cstheme="minorHAnsi"/>
          <w:color w:val="333333"/>
          <w:sz w:val="22"/>
          <w:szCs w:val="22"/>
          <w:shd w:val="clear" w:color="auto" w:fill="FFFFFF"/>
          <w:lang w:val="en-US"/>
        </w:rPr>
      </w:pPr>
      <w:r>
        <w:rPr>
          <w:rFonts w:asciiTheme="minorHAnsi" w:hAnsiTheme="minorHAnsi" w:cstheme="minorHAnsi"/>
          <w:color w:val="333333"/>
          <w:sz w:val="22"/>
          <w:szCs w:val="22"/>
          <w:shd w:val="clear" w:color="auto" w:fill="FFFFFF"/>
          <w:lang w:val="en-US"/>
        </w:rPr>
        <w:t xml:space="preserve">As the United Nations’ laboratory of ideas, UNESCO generates knowledge around education, the sciences, culture, and communication, which can inform integrated policy responses. One of the Organization’s key mechanisms for such interdisciplinary knowledge generation and scientific diplomacy is the unique UNITWIN/UNESCO Chairs Programme, a global research network of +1100 university Chairs working across all areas of UNESCO’s mandate to promote international cooperation. </w:t>
      </w:r>
    </w:p>
    <w:p w14:paraId="4ECF41EE">
      <w:pPr>
        <w:rPr>
          <w:rFonts w:asciiTheme="minorHAnsi" w:hAnsiTheme="minorHAnsi" w:cstheme="minorHAnsi"/>
          <w:color w:val="333333"/>
          <w:sz w:val="22"/>
          <w:szCs w:val="22"/>
          <w:shd w:val="clear" w:color="auto" w:fill="FFFFFF"/>
          <w:lang w:val="en-US"/>
        </w:rPr>
      </w:pPr>
    </w:p>
    <w:p w14:paraId="155472A0">
      <w:pPr>
        <w:rPr>
          <w:rFonts w:asciiTheme="minorHAnsi" w:hAnsiTheme="minorHAnsi" w:cstheme="minorHAnsi"/>
          <w:color w:val="333333"/>
          <w:sz w:val="22"/>
          <w:szCs w:val="22"/>
          <w:shd w:val="clear" w:color="auto" w:fill="FFFFFF"/>
          <w:lang w:val="en-US"/>
        </w:rPr>
      </w:pPr>
      <w:r>
        <w:rPr>
          <w:rFonts w:asciiTheme="minorHAnsi" w:hAnsiTheme="minorHAnsi" w:cstheme="minorHAnsi"/>
          <w:color w:val="333333"/>
          <w:sz w:val="22"/>
          <w:szCs w:val="22"/>
          <w:shd w:val="clear" w:color="auto" w:fill="FFFFFF"/>
          <w:lang w:val="en-US"/>
        </w:rPr>
        <w:t>The UNITWIN/UNESCO Chairs Programme sits within the Future of Learning and Innovation Division in the Education Sector. The Division also steers the Futures of Education Programme - a global effort to rethink how knowledge, learning and education can shape more just, equitable and sustainable futures for humanity and the planet. Guided by the vision of the 2021 report from the International Commission for the Futures of Education, ‘Reimagining our Futures Together’, the Programme advances ideas, foresight, vision and research that strengthen education’s transformative role.</w:t>
      </w:r>
    </w:p>
    <w:p w14:paraId="02A4FF00">
      <w:pPr>
        <w:ind w:left="720"/>
        <w:rPr>
          <w:rFonts w:eastAsia="DengXian" w:asciiTheme="minorHAnsi" w:hAnsiTheme="minorHAnsi" w:cstheme="minorHAnsi"/>
          <w:sz w:val="22"/>
          <w:szCs w:val="22"/>
          <w:lang w:val="en-US" w:eastAsia="zh-CN"/>
        </w:rPr>
      </w:pPr>
    </w:p>
    <w:p w14:paraId="268BFB1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Under the overall authority of the Assistant Director-General for Education (ADG/ED), the guidance of the Director of the Future of Learning and Innovation Division, and the direct supervision of the Programme Specialist, the Trainee will perform the following tasks: </w:t>
      </w:r>
    </w:p>
    <w:p w14:paraId="632D291B">
      <w:pPr>
        <w:rPr>
          <w:rFonts w:asciiTheme="minorHAnsi" w:hAnsiTheme="minorHAnsi" w:cstheme="minorHAnsi"/>
          <w:b/>
          <w:bCs/>
          <w:sz w:val="22"/>
          <w:szCs w:val="22"/>
          <w:lang w:val="en-US"/>
        </w:rPr>
      </w:pPr>
    </w:p>
    <w:p w14:paraId="4A2BB2F6">
      <w:pPr>
        <w:pStyle w:val="25"/>
        <w:numPr>
          <w:ilvl w:val="0"/>
          <w:numId w:val="1"/>
        </w:numPr>
        <w:rPr>
          <w:rFonts w:asciiTheme="minorHAnsi" w:hAnsiTheme="minorHAnsi" w:cstheme="minorHAnsi"/>
          <w:sz w:val="22"/>
          <w:szCs w:val="22"/>
          <w:lang w:val="en-US"/>
        </w:rPr>
      </w:pPr>
      <w:r>
        <w:rPr>
          <w:rFonts w:asciiTheme="minorHAnsi" w:hAnsiTheme="minorHAnsi" w:cstheme="minorHAnsi"/>
          <w:b/>
          <w:bCs/>
          <w:sz w:val="22"/>
          <w:szCs w:val="22"/>
          <w:lang w:val="en-US"/>
        </w:rPr>
        <w:t>Research, data and analysis</w:t>
      </w:r>
      <w:r>
        <w:rPr>
          <w:rFonts w:asciiTheme="minorHAnsi" w:hAnsiTheme="minorHAnsi" w:cstheme="minorHAnsi"/>
          <w:sz w:val="22"/>
          <w:szCs w:val="22"/>
          <w:lang w:val="en-US"/>
        </w:rPr>
        <w:t xml:space="preserve">: Contribute to research and knowledge generation and the development and review of survey questionnaires. Consolidate data from global public databases and prepare short trends or descriptive analyses. Check data for completeness, accuracy and consistency and verify its coherence with other sources. </w:t>
      </w:r>
    </w:p>
    <w:p w14:paraId="2F04557F">
      <w:pPr>
        <w:pStyle w:val="25"/>
        <w:rPr>
          <w:rFonts w:asciiTheme="minorHAnsi" w:hAnsiTheme="minorHAnsi" w:cstheme="minorHAnsi"/>
          <w:sz w:val="22"/>
          <w:szCs w:val="22"/>
          <w:lang w:val="en-US"/>
        </w:rPr>
      </w:pPr>
    </w:p>
    <w:p w14:paraId="7D0C51B0">
      <w:pPr>
        <w:pStyle w:val="25"/>
        <w:numPr>
          <w:ilvl w:val="0"/>
          <w:numId w:val="1"/>
        </w:numPr>
        <w:rPr>
          <w:rFonts w:asciiTheme="minorHAnsi" w:hAnsiTheme="minorHAnsi" w:cstheme="minorHAnsi"/>
          <w:sz w:val="22"/>
          <w:szCs w:val="22"/>
          <w:lang w:val="en-US"/>
        </w:rPr>
      </w:pPr>
      <w:r>
        <w:rPr>
          <w:rFonts w:asciiTheme="minorHAnsi" w:hAnsiTheme="minorHAnsi" w:cstheme="minorHAnsi"/>
          <w:b/>
          <w:bCs/>
          <w:sz w:val="22"/>
          <w:szCs w:val="22"/>
          <w:lang w:val="en-US"/>
        </w:rPr>
        <w:t xml:space="preserve">Monthly seminars and expert meetings: </w:t>
      </w:r>
      <w:r>
        <w:rPr>
          <w:rFonts w:asciiTheme="minorHAnsi" w:hAnsiTheme="minorHAnsi" w:cstheme="minorHAnsi"/>
          <w:sz w:val="22"/>
          <w:szCs w:val="22"/>
          <w:lang w:val="en-US"/>
        </w:rPr>
        <w:t>Support the planning and organization of in-person and virtual events, including webinars, seminars and expert meetings. Assist with the preparation and dissemination of meeting invitations, monitor participation, and prepare relevant documentation and background materials. This may require identification of speakers, including the review of UNESCO Chair and UNITWIN Network activity reports. Draft and edit meeting reports, summaries, recordings, and news articles following events.</w:t>
      </w:r>
    </w:p>
    <w:p w14:paraId="1A332705">
      <w:pPr>
        <w:pStyle w:val="25"/>
        <w:rPr>
          <w:rFonts w:asciiTheme="minorHAnsi" w:hAnsiTheme="minorHAnsi" w:cstheme="minorHAnsi"/>
          <w:sz w:val="22"/>
          <w:szCs w:val="22"/>
          <w:lang w:val="en-US"/>
        </w:rPr>
      </w:pPr>
    </w:p>
    <w:p w14:paraId="370A1E24">
      <w:pPr>
        <w:pStyle w:val="25"/>
        <w:numPr>
          <w:ilvl w:val="0"/>
          <w:numId w:val="1"/>
        </w:numPr>
        <w:rPr>
          <w:rFonts w:asciiTheme="minorHAnsi" w:hAnsiTheme="minorHAnsi" w:cstheme="minorHAnsi"/>
          <w:sz w:val="22"/>
          <w:szCs w:val="22"/>
          <w:lang w:val="en-US"/>
        </w:rPr>
      </w:pPr>
      <w:r>
        <w:rPr>
          <w:rFonts w:asciiTheme="minorHAnsi" w:hAnsiTheme="minorHAnsi" w:cstheme="minorHAnsi"/>
          <w:b/>
          <w:bCs/>
          <w:sz w:val="22"/>
          <w:szCs w:val="22"/>
          <w:lang w:val="en-GB"/>
        </w:rPr>
        <w:t>2050 Futures Forum (2027)</w:t>
      </w:r>
      <w:r>
        <w:rPr>
          <w:rFonts w:asciiTheme="minorHAnsi" w:hAnsiTheme="minorHAnsi" w:cstheme="minorHAnsi"/>
          <w:sz w:val="22"/>
          <w:szCs w:val="22"/>
          <w:lang w:val="en-GB"/>
        </w:rPr>
        <w:t xml:space="preserve">: Support the planning of this International </w:t>
      </w:r>
      <w:r>
        <w:rPr>
          <w:rFonts w:asciiTheme="minorHAnsi" w:hAnsiTheme="minorHAnsi" w:cstheme="minorHAnsi"/>
          <w:sz w:val="22"/>
          <w:szCs w:val="22"/>
          <w:lang w:val="en-US"/>
        </w:rPr>
        <w:t>Forum which will aim to mobilize the collective intelligence, interdisciplinary expertise, and futures thinking of the global network of UNESCO research chairs, networks, and partners to explore possible futures for development. The outcomes of the Forum will provide an evidence base in contribution to UN-led political consultations on global development cooperation post SDGs. The Forum builds on UNESCO’s unique role and comparative advantage within the UN System as an ‘intellectual’ specialized agency with an intersectoral mandate.</w:t>
      </w:r>
    </w:p>
    <w:p w14:paraId="5CA6CCD7">
      <w:pPr>
        <w:pStyle w:val="26"/>
        <w:ind w:left="1440"/>
        <w:rPr>
          <w:lang w:val="en-US"/>
        </w:rPr>
      </w:pPr>
      <w:r>
        <w:rPr>
          <w:lang w:val="en-US"/>
        </w:rPr>
        <w:t> </w:t>
      </w:r>
    </w:p>
    <w:p w14:paraId="64D5139F">
      <w:pPr>
        <w:shd w:val="clear" w:color="auto" w:fill="D9D9D9"/>
        <w:spacing w:after="120"/>
        <w:ind w:left="240" w:right="-143" w:hanging="382"/>
        <w:jc w:val="center"/>
        <w:rPr>
          <w:rFonts w:asciiTheme="minorHAnsi" w:hAnsiTheme="minorHAnsi" w:cstheme="minorHAnsi"/>
          <w:b/>
          <w:color w:val="1F497D" w:themeColor="text2"/>
          <w:lang w:val="en-GB"/>
          <w14:textFill>
            <w14:solidFill>
              <w14:schemeClr w14:val="tx2"/>
            </w14:solidFill>
          </w14:textFill>
        </w:rPr>
      </w:pPr>
      <w:r>
        <w:rPr>
          <w:rFonts w:asciiTheme="minorHAnsi" w:hAnsiTheme="minorHAnsi" w:cstheme="minorHAnsi"/>
          <w:b/>
          <w:color w:val="1F497D" w:themeColor="text2"/>
          <w:lang w:val="en-GB"/>
          <w14:textFill>
            <w14:solidFill>
              <w14:schemeClr w14:val="tx2"/>
            </w14:solidFill>
          </w14:textFill>
        </w:rPr>
        <w:t xml:space="preserve">REQUIRED QUALIFICATIONS </w:t>
      </w:r>
    </w:p>
    <w:p w14:paraId="1E8F779A">
      <w:pPr>
        <w:spacing w:after="120"/>
        <w:rPr>
          <w:rFonts w:asciiTheme="minorHAnsi" w:hAnsiTheme="minorHAnsi" w:cstheme="minorHAnsi"/>
          <w:sz w:val="22"/>
          <w:szCs w:val="22"/>
          <w:lang w:val="en-US"/>
        </w:rPr>
      </w:pPr>
      <w:r>
        <w:rPr>
          <w:rFonts w:asciiTheme="minorHAnsi" w:hAnsiTheme="minorHAnsi" w:cstheme="minorHAnsi"/>
          <w:b/>
          <w:sz w:val="22"/>
          <w:szCs w:val="22"/>
          <w:lang w:val="en-US"/>
        </w:rPr>
        <w:t>Education:</w:t>
      </w:r>
      <w:r>
        <w:rPr>
          <w:rFonts w:asciiTheme="minorHAnsi" w:hAnsiTheme="minorHAnsi" w:cstheme="minorHAnsi"/>
          <w:sz w:val="22"/>
          <w:szCs w:val="22"/>
          <w:lang w:val="en-US"/>
        </w:rPr>
        <w:t xml:space="preserve"> Advanced university degree (Masters or equivalent) in the field of education, development studies, public policy, international relations, economics, and/or other relevant fields.</w:t>
      </w:r>
    </w:p>
    <w:p w14:paraId="4730D1CE">
      <w:pPr>
        <w:spacing w:after="120"/>
        <w:rPr>
          <w:rFonts w:asciiTheme="minorHAnsi" w:hAnsiTheme="minorHAnsi" w:cstheme="minorHAnsi"/>
          <w:sz w:val="22"/>
          <w:szCs w:val="22"/>
          <w:lang w:val="en-US"/>
        </w:rPr>
      </w:pPr>
      <w:r>
        <w:rPr>
          <w:rStyle w:val="15"/>
        </w:rPr>
        <w:commentReference w:id="0"/>
      </w:r>
      <w:r>
        <w:rPr>
          <w:rFonts w:asciiTheme="minorHAnsi" w:hAnsiTheme="minorHAnsi" w:cstheme="minorHAnsi"/>
          <w:b/>
          <w:sz w:val="22"/>
          <w:szCs w:val="22"/>
          <w:lang w:val="en-US"/>
        </w:rPr>
        <w:t>Language skills:</w:t>
      </w:r>
      <w:r>
        <w:rPr>
          <w:rFonts w:asciiTheme="minorHAnsi" w:hAnsiTheme="minorHAnsi" w:cstheme="minorHAnsi"/>
          <w:sz w:val="22"/>
          <w:szCs w:val="22"/>
          <w:lang w:val="en-US"/>
        </w:rPr>
        <w:t xml:space="preserve"> Proficiency in English required. Knowledge of another UN language (French, Arabic, Chinese, Russian or Spanish) is an asset.</w:t>
      </w:r>
    </w:p>
    <w:p w14:paraId="1D392F0B">
      <w:pPr>
        <w:spacing w:after="120"/>
        <w:rPr>
          <w:rFonts w:asciiTheme="minorHAnsi" w:hAnsiTheme="minorHAnsi" w:cstheme="minorHAnsi"/>
          <w:sz w:val="22"/>
          <w:szCs w:val="22"/>
          <w:lang w:val="en-US"/>
        </w:rPr>
      </w:pPr>
      <w:r>
        <w:rPr>
          <w:rFonts w:asciiTheme="minorHAnsi" w:hAnsiTheme="minorHAnsi" w:cstheme="minorHAnsi"/>
          <w:b/>
          <w:sz w:val="22"/>
          <w:szCs w:val="22"/>
          <w:lang w:val="en-US"/>
        </w:rPr>
        <w:t>Competencies and skills:</w:t>
      </w:r>
      <w:r>
        <w:rPr>
          <w:rFonts w:asciiTheme="minorHAnsi" w:hAnsiTheme="minorHAnsi" w:cstheme="minorHAnsi"/>
          <w:sz w:val="22"/>
          <w:szCs w:val="22"/>
          <w:lang w:val="en-US"/>
        </w:rPr>
        <w:t xml:space="preserve"> </w:t>
      </w:r>
    </w:p>
    <w:p w14:paraId="2A5035BD">
      <w:pPr>
        <w:pStyle w:val="25"/>
        <w:numPr>
          <w:ilvl w:val="0"/>
          <w:numId w:val="2"/>
        </w:numPr>
        <w:spacing w:after="120"/>
        <w:rPr>
          <w:rFonts w:asciiTheme="minorHAnsi" w:hAnsiTheme="minorHAnsi" w:cstheme="minorHAnsi"/>
          <w:bCs/>
          <w:sz w:val="22"/>
          <w:szCs w:val="22"/>
          <w:lang w:val="en-US"/>
        </w:rPr>
      </w:pPr>
      <w:r>
        <w:rPr>
          <w:rFonts w:asciiTheme="minorHAnsi" w:hAnsiTheme="minorHAnsi" w:cstheme="minorHAnsi"/>
          <w:bCs/>
          <w:sz w:val="22"/>
          <w:szCs w:val="22"/>
          <w:lang w:val="en-US"/>
        </w:rPr>
        <w:t xml:space="preserve">Excellent drafting skills in English; </w:t>
      </w:r>
    </w:p>
    <w:p w14:paraId="10AABBD1">
      <w:pPr>
        <w:pStyle w:val="25"/>
        <w:numPr>
          <w:ilvl w:val="0"/>
          <w:numId w:val="2"/>
        </w:numPr>
        <w:spacing w:after="120"/>
        <w:rPr>
          <w:rFonts w:asciiTheme="minorHAnsi" w:hAnsiTheme="minorHAnsi" w:cstheme="minorHAnsi"/>
          <w:bCs/>
          <w:sz w:val="22"/>
          <w:szCs w:val="22"/>
          <w:lang w:val="en-US"/>
        </w:rPr>
      </w:pPr>
      <w:r>
        <w:rPr>
          <w:rFonts w:asciiTheme="minorHAnsi" w:hAnsiTheme="minorHAnsi" w:cstheme="minorHAnsi"/>
          <w:bCs/>
          <w:sz w:val="22"/>
          <w:szCs w:val="22"/>
          <w:lang w:val="en-US"/>
        </w:rPr>
        <w:t>Ability to meet tight deadlines, paying close attention to detail;</w:t>
      </w:r>
    </w:p>
    <w:p w14:paraId="64CC752D">
      <w:pPr>
        <w:pStyle w:val="25"/>
        <w:numPr>
          <w:ilvl w:val="0"/>
          <w:numId w:val="2"/>
        </w:numPr>
        <w:spacing w:after="120"/>
        <w:rPr>
          <w:rFonts w:asciiTheme="minorHAnsi" w:hAnsiTheme="minorHAnsi" w:cstheme="minorHAnsi"/>
          <w:bCs/>
          <w:sz w:val="22"/>
          <w:szCs w:val="22"/>
          <w:lang w:val="en-US"/>
        </w:rPr>
      </w:pPr>
      <w:r>
        <w:rPr>
          <w:rFonts w:asciiTheme="minorHAnsi" w:hAnsiTheme="minorHAnsi" w:cstheme="minorHAnsi"/>
          <w:bCs/>
          <w:sz w:val="22"/>
          <w:szCs w:val="22"/>
          <w:lang w:val="en-US"/>
        </w:rPr>
        <w:t xml:space="preserve">Excellent interpersonal skills and ability to build and maintain effective working relations with colleagues, partners, relevant institutions, intergovernmental and non-governmental organizations and other relevant institutions; </w:t>
      </w:r>
    </w:p>
    <w:p w14:paraId="6428AC2C">
      <w:pPr>
        <w:pStyle w:val="25"/>
        <w:numPr>
          <w:ilvl w:val="0"/>
          <w:numId w:val="2"/>
        </w:numPr>
        <w:spacing w:after="120"/>
        <w:rPr>
          <w:rFonts w:asciiTheme="minorHAnsi" w:hAnsiTheme="minorHAnsi" w:cstheme="minorHAnsi"/>
          <w:bCs/>
          <w:sz w:val="22"/>
          <w:szCs w:val="22"/>
          <w:lang w:val="en-US"/>
        </w:rPr>
      </w:pPr>
      <w:r>
        <w:rPr>
          <w:rFonts w:asciiTheme="minorHAnsi" w:hAnsiTheme="minorHAnsi" w:cstheme="minorHAnsi"/>
          <w:bCs/>
          <w:sz w:val="22"/>
          <w:szCs w:val="22"/>
          <w:lang w:val="en-US"/>
        </w:rPr>
        <w:t>Solid IT skills including knowledge of Office software and demonstrated ease of working with qualitative and quantitative data, including large datasets.</w:t>
      </w:r>
    </w:p>
    <w:p w14:paraId="7E9C8A40">
      <w:pPr>
        <w:spacing w:after="120"/>
        <w:rPr>
          <w:rFonts w:asciiTheme="minorHAnsi" w:hAnsiTheme="minorHAnsi" w:cstheme="minorHAnsi"/>
          <w:bCs/>
          <w:sz w:val="22"/>
          <w:szCs w:val="22"/>
          <w:lang w:val="en-US"/>
        </w:rPr>
      </w:pPr>
    </w:p>
    <w:p w14:paraId="07620D13">
      <w:pPr>
        <w:shd w:val="clear" w:color="auto" w:fill="D9D9D9"/>
        <w:spacing w:after="120"/>
        <w:ind w:left="240" w:right="-143" w:hanging="382"/>
        <w:jc w:val="center"/>
        <w:rPr>
          <w:rFonts w:asciiTheme="minorHAnsi" w:hAnsiTheme="minorHAnsi" w:cstheme="minorHAnsi"/>
          <w:b/>
          <w:color w:val="1F497D" w:themeColor="text2"/>
          <w:lang w:val="en-GB"/>
          <w14:textFill>
            <w14:solidFill>
              <w14:schemeClr w14:val="tx2"/>
            </w14:solidFill>
          </w14:textFill>
        </w:rPr>
      </w:pPr>
      <w:r>
        <w:rPr>
          <w:rFonts w:asciiTheme="minorHAnsi" w:hAnsiTheme="minorHAnsi" w:cstheme="minorHAnsi"/>
          <w:b/>
          <w:color w:val="1F497D" w:themeColor="text2"/>
          <w:lang w:val="en-GB"/>
          <w14:textFill>
            <w14:solidFill>
              <w14:schemeClr w14:val="tx2"/>
            </w14:solidFill>
          </w14:textFill>
        </w:rPr>
        <w:t xml:space="preserve">LEARNING OBJECTIVES </w:t>
      </w:r>
    </w:p>
    <w:p w14:paraId="2E70C29C">
      <w:pPr>
        <w:spacing w:after="120"/>
        <w:rPr>
          <w:rFonts w:asciiTheme="minorHAnsi" w:hAnsiTheme="minorHAnsi" w:cstheme="minorHAnsi"/>
          <w:sz w:val="22"/>
          <w:szCs w:val="22"/>
          <w:lang w:val="en-US"/>
        </w:rPr>
      </w:pPr>
      <w:r>
        <w:rPr>
          <w:rFonts w:asciiTheme="minorHAnsi" w:hAnsiTheme="minorHAnsi" w:cstheme="minorHAnsi"/>
          <w:sz w:val="22"/>
          <w:szCs w:val="22"/>
          <w:lang w:val="en-US"/>
        </w:rPr>
        <w:t xml:space="preserve">The Trainee will gain solid working knowledge of the operations of an intergovernmental organization, acquire in-depth knowledge of UNESCO, its mandate, its functions. The Trainee will also gain a better understanding of emerging issues in education, interdisciplinary issues, and of how UNESCO collaborates with governments and other stakeholders in addressing them. </w:t>
      </w:r>
    </w:p>
    <w:p w14:paraId="36E6A1A1">
      <w:pPr>
        <w:spacing w:after="120"/>
        <w:rPr>
          <w:rFonts w:asciiTheme="minorHAnsi" w:hAnsiTheme="minorHAnsi" w:cstheme="minorHAnsi"/>
          <w:sz w:val="22"/>
          <w:szCs w:val="22"/>
          <w:lang w:val="en-US"/>
        </w:rPr>
      </w:pPr>
      <w:r>
        <w:rPr>
          <w:rFonts w:asciiTheme="minorHAnsi" w:hAnsiTheme="minorHAnsi" w:cstheme="minorHAnsi"/>
          <w:sz w:val="22"/>
          <w:szCs w:val="22"/>
          <w:lang w:val="en-US"/>
        </w:rPr>
        <w:t>S/he will have the opportunity to work in an intercultural environment and interact directly with colleagues from different UNESCO programme sectors, education institutions and government officials in all Member States as well as a variety of other UNESCO partners.</w:t>
      </w:r>
    </w:p>
    <w:p w14:paraId="560E1F09">
      <w:pPr>
        <w:spacing w:after="120"/>
        <w:rPr>
          <w:rFonts w:asciiTheme="minorHAnsi" w:hAnsiTheme="minorHAnsi" w:cstheme="minorHAnsi"/>
          <w:sz w:val="22"/>
          <w:szCs w:val="22"/>
          <w:lang w:val="en-US"/>
        </w:rPr>
      </w:pPr>
      <w:r>
        <w:rPr>
          <w:rFonts w:asciiTheme="minorHAnsi" w:hAnsiTheme="minorHAnsi" w:cstheme="minorHAnsi"/>
          <w:sz w:val="22"/>
          <w:szCs w:val="22"/>
          <w:lang w:val="en-US"/>
        </w:rPr>
        <w:t>S/he will strengthen analytical, communication, negotiation and interpersonal skills.</w:t>
      </w:r>
    </w:p>
    <w:p w14:paraId="451B5D46">
      <w:pPr>
        <w:pStyle w:val="7"/>
        <w:tabs>
          <w:tab w:val="clear" w:pos="4536"/>
          <w:tab w:val="clear" w:pos="9072"/>
        </w:tabs>
        <w:jc w:val="center"/>
        <w:rPr>
          <w:rFonts w:asciiTheme="minorHAnsi" w:hAnsiTheme="minorHAnsi" w:cstheme="minorHAnsi"/>
          <w:b/>
          <w:sz w:val="22"/>
          <w:szCs w:val="22"/>
          <w:lang w:val="en-US"/>
        </w:rPr>
      </w:pPr>
    </w:p>
    <w:p w14:paraId="45D62DD5">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ADDITIONAL INFORMATION</w:t>
      </w:r>
    </w:p>
    <w:p w14:paraId="327B90F1">
      <w:pPr>
        <w:shd w:val="clear" w:color="auto" w:fill="D9D9D9"/>
        <w:spacing w:after="120"/>
        <w:ind w:left="240" w:right="-143" w:hanging="382"/>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    Futures of Education: </w:t>
      </w:r>
      <w:r>
        <w:fldChar w:fldCharType="begin"/>
      </w:r>
      <w:r>
        <w:instrText xml:space="preserve"> HYPERLINK "https://www.unesco.org/en/futures-education" </w:instrText>
      </w:r>
      <w:r>
        <w:fldChar w:fldCharType="separate"/>
      </w:r>
      <w:r>
        <w:rPr>
          <w:rStyle w:val="14"/>
          <w:rFonts w:cs="Tahoma" w:asciiTheme="minorHAnsi" w:hAnsiTheme="minorHAnsi"/>
          <w:b/>
          <w:lang w:val="en-GB"/>
        </w:rPr>
        <w:t>https://www.unesco.org/en/futures-education</w:t>
      </w:r>
      <w:r>
        <w:rPr>
          <w:rStyle w:val="14"/>
          <w:rFonts w:cs="Tahoma" w:asciiTheme="minorHAnsi" w:hAnsiTheme="minorHAnsi"/>
          <w:b/>
          <w:lang w:val="en-GB"/>
        </w:rPr>
        <w:fldChar w:fldCharType="end"/>
      </w:r>
      <w:r>
        <w:rPr>
          <w:rFonts w:cs="Tahoma" w:asciiTheme="minorHAnsi" w:hAnsiTheme="minorHAnsi"/>
          <w:b/>
          <w:color w:val="1F497D" w:themeColor="text2"/>
          <w:lang w:val="en-GB"/>
          <w14:textFill>
            <w14:solidFill>
              <w14:schemeClr w14:val="tx2"/>
            </w14:solidFill>
          </w14:textFill>
        </w:rPr>
        <w:t xml:space="preserve"> </w:t>
      </w:r>
    </w:p>
    <w:p w14:paraId="5E93D345">
      <w:pPr>
        <w:shd w:val="clear" w:color="auto" w:fill="D9D9D9"/>
        <w:spacing w:after="120"/>
        <w:ind w:left="240" w:right="-143" w:hanging="382"/>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    UNITWIN/UNESCO Chairs Programme </w:t>
      </w:r>
      <w:r>
        <w:fldChar w:fldCharType="begin"/>
      </w:r>
      <w:r>
        <w:instrText xml:space="preserve"> HYPERLINK "https://www.unesco.org/en/unitwin" </w:instrText>
      </w:r>
      <w:r>
        <w:fldChar w:fldCharType="separate"/>
      </w:r>
      <w:r>
        <w:rPr>
          <w:rStyle w:val="14"/>
          <w:rFonts w:cs="Tahoma" w:asciiTheme="minorHAnsi" w:hAnsiTheme="minorHAnsi"/>
          <w:b/>
          <w:lang w:val="en-GB"/>
        </w:rPr>
        <w:t>https://www.unesco.org/en/unitwin</w:t>
      </w:r>
      <w:r>
        <w:rPr>
          <w:rStyle w:val="14"/>
          <w:rFonts w:cs="Tahoma" w:asciiTheme="minorHAnsi" w:hAnsiTheme="minorHAnsi"/>
          <w:b/>
          <w:lang w:val="en-GB"/>
        </w:rPr>
        <w:fldChar w:fldCharType="end"/>
      </w:r>
      <w:r>
        <w:rPr>
          <w:rFonts w:cs="Tahoma" w:asciiTheme="minorHAnsi" w:hAnsiTheme="minorHAnsi"/>
          <w:b/>
          <w:color w:val="1F497D" w:themeColor="text2"/>
          <w:lang w:val="en-GB"/>
          <w14:textFill>
            <w14:solidFill>
              <w14:schemeClr w14:val="tx2"/>
            </w14:solidFill>
          </w14:textFill>
        </w:rPr>
        <w:t xml:space="preserve"> </w:t>
      </w:r>
    </w:p>
    <w:p w14:paraId="1F366F36">
      <w:pPr>
        <w:shd w:val="clear" w:color="auto" w:fill="D9D9D9"/>
        <w:spacing w:after="120"/>
        <w:ind w:left="240" w:right="-143" w:hanging="382"/>
        <w:rPr>
          <w:rFonts w:cs="Tahoma" w:asciiTheme="minorHAnsi" w:hAnsiTheme="minorHAnsi"/>
          <w:b/>
          <w:color w:val="1F497D" w:themeColor="text2"/>
          <w:lang w:val="en-GB"/>
          <w14:textFill>
            <w14:solidFill>
              <w14:schemeClr w14:val="tx2"/>
            </w14:solidFill>
          </w14:textFill>
        </w:rPr>
      </w:pPr>
    </w:p>
    <w:sectPr>
      <w:headerReference r:id="rId8" w:type="first"/>
      <w:headerReference r:id="rId7" w:type="default"/>
      <w:footerReference r:id="rId9" w:type="default"/>
      <w:footerReference r:id="rId10" w:type="even"/>
      <w:pgSz w:w="11906" w:h="16838"/>
      <w:pgMar w:top="993" w:right="1417" w:bottom="1417" w:left="1417" w:header="56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hang, Qihui" w:date="2026-02-13T16:45:00Z" w:initials="QZ">
    <w:p w14:paraId="32EC0731">
      <w:pPr>
        <w:pStyle w:val="3"/>
      </w:pPr>
      <w:r>
        <w:t>For traineeship, working experience is not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2EC073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Calibri">
    <w:altName w:val="Helvetica Neue"/>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Cambria">
    <w:altName w:val="苹方-简"/>
    <w:panose1 w:val="02040503050406030204"/>
    <w:charset w:val="00"/>
    <w:family w:val="roman"/>
    <w:pitch w:val="default"/>
    <w:sig w:usb0="00000000" w:usb1="00000000" w:usb2="02000000" w:usb3="00000000" w:csb0="0000019F" w:csb1="00000000"/>
  </w:font>
  <w:font w:name="Tahoma">
    <w:panose1 w:val="020B0604030504040204"/>
    <w:charset w:val="00"/>
    <w:family w:val="swiss"/>
    <w:pitch w:val="default"/>
    <w:sig w:usb0="E1002AFF" w:usb1="C000605B" w:usb2="00000029" w:usb3="00000000" w:csb0="200101FF" w:csb1="20280000"/>
  </w:font>
  <w:font w:name="Helvetica">
    <w:panose1 w:val="00000000000000000000"/>
    <w:charset w:val="00"/>
    <w:family w:val="swiss"/>
    <w:pitch w:val="default"/>
    <w:sig w:usb0="E00002FF" w:usb1="5000785B" w:usb2="00000000" w:usb3="00000000" w:csb0="2000019F" w:csb1="4F010000"/>
  </w:font>
  <w:font w:name="DengXian">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40F4B">
    <w:pPr>
      <w:pStyle w:val="6"/>
      <w:rPr>
        <w:rFonts w:cs="Arial" w:asciiTheme="minorHAnsi" w:hAnsiTheme="minorHAnsi"/>
        <w:sz w:val="22"/>
        <w:szCs w:val="22"/>
      </w:rPr>
    </w:pPr>
    <w:r>
      <w:rPr>
        <w:rFonts w:ascii="Arial" w:hAnsi="Arial" w:cs="Arial"/>
        <w:sz w:val="20"/>
        <w:szCs w:val="20"/>
        <w:lang w:val="en-US"/>
      </w:rPr>
      <w:tab/>
    </w:r>
    <w:r>
      <w:rPr>
        <w:rFonts w:ascii="Arial" w:hAnsi="Arial" w:cs="Arial"/>
        <w:sz w:val="20"/>
        <w:szCs w:val="20"/>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316A0">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46A7E346">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CD1F8">
    <w:pPr>
      <w:jc w:val="right"/>
      <w:rPr>
        <w:rFonts w:ascii="Arial" w:hAnsi="Arial" w:cs="Arial"/>
        <w:bCs/>
        <w:kern w:val="28"/>
        <w:sz w:val="20"/>
        <w:szCs w:val="20"/>
      </w:rPr>
    </w:pPr>
    <w:r>
      <w:rPr>
        <w:rFonts w:ascii="Arial" w:hAnsi="Arial" w:cs="Arial"/>
        <w:bCs/>
        <w:kern w:val="28"/>
        <w:sz w:val="20"/>
        <w:szCs w:val="20"/>
      </w:rPr>
      <w:t xml:space="preserve"> </w:t>
    </w:r>
  </w:p>
  <w:p w14:paraId="38EFF355">
    <w:r>
      <w:rPr>
        <w:lang w:eastAsia="zh-CN"/>
      </w:rPr>
      <w:drawing>
        <wp:anchor distT="0" distB="0" distL="114300" distR="114300" simplePos="0" relativeHeight="251659264" behindDoc="0" locked="1" layoutInCell="1" allowOverlap="1">
          <wp:simplePos x="0" y="0"/>
          <wp:positionH relativeFrom="page">
            <wp:posOffset>899795</wp:posOffset>
          </wp:positionH>
          <wp:positionV relativeFrom="page">
            <wp:posOffset>506095</wp:posOffset>
          </wp:positionV>
          <wp:extent cx="1787525" cy="379095"/>
          <wp:effectExtent l="0" t="0" r="3175" b="1905"/>
          <wp:wrapNone/>
          <wp:docPr id="1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1787525" cy="379095"/>
                  </a:xfrm>
                  <a:prstGeom prst="rect">
                    <a:avLst/>
                  </a:prstGeom>
                  <a:noFill/>
                  <a:ln>
                    <a:noFill/>
                  </a:ln>
                </pic:spPr>
              </pic:pic>
            </a:graphicData>
          </a:graphic>
        </wp:anchor>
      </w:drawing>
    </w:r>
  </w:p>
  <w:p w14:paraId="6856CE5B">
    <w:pPr>
      <w:pStyle w:val="7"/>
    </w:pPr>
  </w:p>
  <w:p w14:paraId="65376807">
    <w:pPr>
      <w:pStyle w:val="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C10FF">
    <w:pPr>
      <w:pStyle w:val="9"/>
      <w:rPr>
        <w:i/>
        <w:lang w:val="en-GB"/>
      </w:rPr>
    </w:pPr>
    <w:r>
      <w:rPr>
        <w:i/>
      </w:rPr>
      <w:object>
        <v:shape id="_x0000_i1025" o:spt="75" type="#_x0000_t75" style="height:50.25pt;width:79.5pt;" o:ole="t" fillcolor="#FFFFFF" filled="f" o:preferrelative="t" stroked="f" coordsize="21600,21600">
          <v:path/>
          <v:fill on="f" focussize="0,0"/>
          <v:stroke on="f" joinstyle="miter"/>
          <v:imagedata r:id="rId2" o:title=""/>
          <o:lock v:ext="edit" aspectratio="t"/>
          <w10:wrap type="none"/>
          <w10:anchorlock/>
        </v:shape>
        <o:OLEObject Type="Embed" ProgID="Word.Picture.8" ShapeID="_x0000_i1025" DrawAspect="Content" ObjectID="_1468075725" r:id="rId1">
          <o:LockedField>false</o:LockedField>
        </o:OLEObject>
      </w:object>
    </w:r>
    <w:r>
      <w:rPr>
        <w:i/>
        <w:lang w:val="en-GB"/>
      </w:rPr>
      <w:t xml:space="preserve"> </w:t>
    </w:r>
  </w:p>
  <w:p w14:paraId="5354C8CC">
    <w:pPr>
      <w:pStyle w:val="9"/>
      <w:rPr>
        <w:i/>
        <w:lang w:val="en-GB"/>
      </w:rPr>
    </w:pPr>
    <w:r>
      <w:rPr>
        <w:i/>
        <w:lang w:val="en-GB"/>
      </w:rPr>
      <w:t>UNESCO – Special Internship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35B53"/>
    <w:multiLevelType w:val="multilevel"/>
    <w:tmpl w:val="37335B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7E262C"/>
    <w:multiLevelType w:val="multilevel"/>
    <w:tmpl w:val="4D7E26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Qihui">
    <w15:presenceInfo w15:providerId="AD" w15:userId="S::q.zhang@unesco.org::c01f53b8-f15f-40fd-8290-10c91455f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documentProtection w:enforcement="0"/>
  <w:defaultTabStop w:val="708"/>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80B"/>
    <w:rsid w:val="0003620E"/>
    <w:rsid w:val="0007290F"/>
    <w:rsid w:val="000736EE"/>
    <w:rsid w:val="00074412"/>
    <w:rsid w:val="00075ED0"/>
    <w:rsid w:val="00091CF8"/>
    <w:rsid w:val="0009309B"/>
    <w:rsid w:val="000969E5"/>
    <w:rsid w:val="000D0206"/>
    <w:rsid w:val="000E23CC"/>
    <w:rsid w:val="000E2ABA"/>
    <w:rsid w:val="000E6D5F"/>
    <w:rsid w:val="00104771"/>
    <w:rsid w:val="0011005E"/>
    <w:rsid w:val="001170D0"/>
    <w:rsid w:val="001671BE"/>
    <w:rsid w:val="001E0125"/>
    <w:rsid w:val="001E4C8D"/>
    <w:rsid w:val="00200C73"/>
    <w:rsid w:val="00202799"/>
    <w:rsid w:val="00215759"/>
    <w:rsid w:val="002172E0"/>
    <w:rsid w:val="0022305D"/>
    <w:rsid w:val="00257A8A"/>
    <w:rsid w:val="002825B8"/>
    <w:rsid w:val="002A1791"/>
    <w:rsid w:val="002A4B6B"/>
    <w:rsid w:val="002B4295"/>
    <w:rsid w:val="002C4CE6"/>
    <w:rsid w:val="002C54B5"/>
    <w:rsid w:val="002F0AA8"/>
    <w:rsid w:val="002F31A1"/>
    <w:rsid w:val="002F6140"/>
    <w:rsid w:val="00302A10"/>
    <w:rsid w:val="0030580B"/>
    <w:rsid w:val="00364436"/>
    <w:rsid w:val="00366689"/>
    <w:rsid w:val="00377FE2"/>
    <w:rsid w:val="0038766F"/>
    <w:rsid w:val="003A2230"/>
    <w:rsid w:val="003D081B"/>
    <w:rsid w:val="003E3721"/>
    <w:rsid w:val="003F7882"/>
    <w:rsid w:val="0040225E"/>
    <w:rsid w:val="00413989"/>
    <w:rsid w:val="00417757"/>
    <w:rsid w:val="00423D3C"/>
    <w:rsid w:val="00443F85"/>
    <w:rsid w:val="0045596E"/>
    <w:rsid w:val="004578FA"/>
    <w:rsid w:val="0047689F"/>
    <w:rsid w:val="00483048"/>
    <w:rsid w:val="00484529"/>
    <w:rsid w:val="00487311"/>
    <w:rsid w:val="00495645"/>
    <w:rsid w:val="00495A69"/>
    <w:rsid w:val="004C0365"/>
    <w:rsid w:val="004C0BC5"/>
    <w:rsid w:val="004C2300"/>
    <w:rsid w:val="004C5879"/>
    <w:rsid w:val="004E4332"/>
    <w:rsid w:val="004F0AF3"/>
    <w:rsid w:val="004F6D01"/>
    <w:rsid w:val="00507F9D"/>
    <w:rsid w:val="00512208"/>
    <w:rsid w:val="00543C1D"/>
    <w:rsid w:val="0056028F"/>
    <w:rsid w:val="00564FA1"/>
    <w:rsid w:val="00565750"/>
    <w:rsid w:val="00577460"/>
    <w:rsid w:val="005B634A"/>
    <w:rsid w:val="005D0179"/>
    <w:rsid w:val="005E058F"/>
    <w:rsid w:val="005F0116"/>
    <w:rsid w:val="005F3BF1"/>
    <w:rsid w:val="00635BAD"/>
    <w:rsid w:val="006414A8"/>
    <w:rsid w:val="00664292"/>
    <w:rsid w:val="00670579"/>
    <w:rsid w:val="00687B33"/>
    <w:rsid w:val="00692D71"/>
    <w:rsid w:val="006A31F5"/>
    <w:rsid w:val="006B3A86"/>
    <w:rsid w:val="006D5518"/>
    <w:rsid w:val="006E24BA"/>
    <w:rsid w:val="006E38E6"/>
    <w:rsid w:val="006E3E20"/>
    <w:rsid w:val="00712027"/>
    <w:rsid w:val="007146EB"/>
    <w:rsid w:val="00740E10"/>
    <w:rsid w:val="00752AAB"/>
    <w:rsid w:val="007644C9"/>
    <w:rsid w:val="0079531F"/>
    <w:rsid w:val="007A7DA9"/>
    <w:rsid w:val="007D4E3B"/>
    <w:rsid w:val="007E213D"/>
    <w:rsid w:val="00800EEF"/>
    <w:rsid w:val="0081458F"/>
    <w:rsid w:val="00830F5B"/>
    <w:rsid w:val="00846025"/>
    <w:rsid w:val="008576F5"/>
    <w:rsid w:val="008619B7"/>
    <w:rsid w:val="00876277"/>
    <w:rsid w:val="008B2F4C"/>
    <w:rsid w:val="008B62D8"/>
    <w:rsid w:val="008B7578"/>
    <w:rsid w:val="008C40C1"/>
    <w:rsid w:val="008D00F4"/>
    <w:rsid w:val="008D1AB6"/>
    <w:rsid w:val="008F07FC"/>
    <w:rsid w:val="008F7914"/>
    <w:rsid w:val="00907F0C"/>
    <w:rsid w:val="00916B7C"/>
    <w:rsid w:val="00917BC5"/>
    <w:rsid w:val="009A1D87"/>
    <w:rsid w:val="009C6A86"/>
    <w:rsid w:val="009C7F89"/>
    <w:rsid w:val="009E08C0"/>
    <w:rsid w:val="009E70F3"/>
    <w:rsid w:val="00A0296C"/>
    <w:rsid w:val="00A1697B"/>
    <w:rsid w:val="00A334BE"/>
    <w:rsid w:val="00A46B58"/>
    <w:rsid w:val="00A52A89"/>
    <w:rsid w:val="00A64DBC"/>
    <w:rsid w:val="00A66C8F"/>
    <w:rsid w:val="00A84770"/>
    <w:rsid w:val="00A84B9A"/>
    <w:rsid w:val="00AA609F"/>
    <w:rsid w:val="00AB2B47"/>
    <w:rsid w:val="00AC0DE5"/>
    <w:rsid w:val="00AC493A"/>
    <w:rsid w:val="00AE613C"/>
    <w:rsid w:val="00B05D58"/>
    <w:rsid w:val="00B2108A"/>
    <w:rsid w:val="00B271C4"/>
    <w:rsid w:val="00B5696D"/>
    <w:rsid w:val="00B663F0"/>
    <w:rsid w:val="00BD2C7D"/>
    <w:rsid w:val="00BF4BB9"/>
    <w:rsid w:val="00BF796A"/>
    <w:rsid w:val="00C42226"/>
    <w:rsid w:val="00C4602F"/>
    <w:rsid w:val="00C61D0A"/>
    <w:rsid w:val="00C65DD9"/>
    <w:rsid w:val="00C66B7E"/>
    <w:rsid w:val="00C676ED"/>
    <w:rsid w:val="00C86A91"/>
    <w:rsid w:val="00C95EB3"/>
    <w:rsid w:val="00CE2A4B"/>
    <w:rsid w:val="00D01639"/>
    <w:rsid w:val="00D21942"/>
    <w:rsid w:val="00D2452C"/>
    <w:rsid w:val="00D26709"/>
    <w:rsid w:val="00D33733"/>
    <w:rsid w:val="00D45A69"/>
    <w:rsid w:val="00D471E9"/>
    <w:rsid w:val="00D50D88"/>
    <w:rsid w:val="00D70150"/>
    <w:rsid w:val="00D75D76"/>
    <w:rsid w:val="00D8686F"/>
    <w:rsid w:val="00DC3993"/>
    <w:rsid w:val="00DD58A7"/>
    <w:rsid w:val="00DD77A1"/>
    <w:rsid w:val="00DF421E"/>
    <w:rsid w:val="00DF59CB"/>
    <w:rsid w:val="00E10F21"/>
    <w:rsid w:val="00E11A8B"/>
    <w:rsid w:val="00E416DC"/>
    <w:rsid w:val="00E4480B"/>
    <w:rsid w:val="00E448A5"/>
    <w:rsid w:val="00E465ED"/>
    <w:rsid w:val="00E81D64"/>
    <w:rsid w:val="00E86FED"/>
    <w:rsid w:val="00EA3C9A"/>
    <w:rsid w:val="00EB71C8"/>
    <w:rsid w:val="00EC4B54"/>
    <w:rsid w:val="00EC75CB"/>
    <w:rsid w:val="00ED1005"/>
    <w:rsid w:val="00EF2B0D"/>
    <w:rsid w:val="00EF54D5"/>
    <w:rsid w:val="00F27282"/>
    <w:rsid w:val="00F3093F"/>
    <w:rsid w:val="00F401AC"/>
    <w:rsid w:val="00F9113F"/>
    <w:rsid w:val="00FA707E"/>
    <w:rsid w:val="00FC56B6"/>
    <w:rsid w:val="BC6C719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fr-FR" w:eastAsia="fr-FR" w:bidi="ar-SA"/>
    </w:rPr>
  </w:style>
  <w:style w:type="paragraph" w:styleId="2">
    <w:name w:val="heading 8"/>
    <w:basedOn w:val="1"/>
    <w:next w:val="1"/>
    <w:link w:val="16"/>
    <w:qFormat/>
    <w:uiPriority w:val="0"/>
    <w:pPr>
      <w:keepNext/>
      <w:shd w:val="clear" w:color="auto" w:fill="FFFF99"/>
      <w:tabs>
        <w:tab w:val="left" w:pos="3255"/>
      </w:tabs>
      <w:ind w:left="480"/>
      <w:outlineLvl w:val="7"/>
    </w:pPr>
    <w:rPr>
      <w:rFonts w:ascii="Arial" w:hAnsi="Arial" w:cs="Arial"/>
      <w:b/>
      <w:bCs/>
      <w:lang w:val="en-GB"/>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2"/>
    <w:unhideWhenUsed/>
    <w:uiPriority w:val="99"/>
    <w:rPr>
      <w:sz w:val="20"/>
      <w:szCs w:val="20"/>
    </w:rPr>
  </w:style>
  <w:style w:type="paragraph" w:styleId="4">
    <w:name w:val="Body Text"/>
    <w:basedOn w:val="1"/>
    <w:link w:val="18"/>
    <w:uiPriority w:val="0"/>
    <w:pPr>
      <w:jc w:val="both"/>
    </w:pPr>
    <w:rPr>
      <w:rFonts w:ascii="Arial" w:hAnsi="Arial" w:cs="Arial"/>
      <w:lang w:val="en-GB"/>
    </w:rPr>
  </w:style>
  <w:style w:type="paragraph" w:styleId="5">
    <w:name w:val="Balloon Text"/>
    <w:basedOn w:val="1"/>
    <w:link w:val="21"/>
    <w:semiHidden/>
    <w:unhideWhenUsed/>
    <w:uiPriority w:val="99"/>
    <w:rPr>
      <w:rFonts w:ascii="Tahoma" w:hAnsi="Tahoma" w:cs="Tahoma"/>
      <w:sz w:val="16"/>
      <w:szCs w:val="16"/>
    </w:rPr>
  </w:style>
  <w:style w:type="paragraph" w:styleId="6">
    <w:name w:val="footer"/>
    <w:basedOn w:val="1"/>
    <w:link w:val="17"/>
    <w:uiPriority w:val="0"/>
    <w:pPr>
      <w:tabs>
        <w:tab w:val="center" w:pos="4536"/>
        <w:tab w:val="right" w:pos="9072"/>
      </w:tabs>
    </w:pPr>
  </w:style>
  <w:style w:type="paragraph" w:styleId="7">
    <w:name w:val="header"/>
    <w:basedOn w:val="1"/>
    <w:link w:val="20"/>
    <w:unhideWhenUsed/>
    <w:uiPriority w:val="0"/>
    <w:pPr>
      <w:tabs>
        <w:tab w:val="center" w:pos="4536"/>
        <w:tab w:val="right" w:pos="9072"/>
      </w:tabs>
    </w:pPr>
  </w:style>
  <w:style w:type="paragraph" w:styleId="8">
    <w:name w:val="Normal (Web)"/>
    <w:basedOn w:val="1"/>
    <w:uiPriority w:val="0"/>
    <w:pPr>
      <w:spacing w:before="100" w:beforeAutospacing="1" w:after="100" w:afterAutospacing="1"/>
    </w:pPr>
    <w:rPr>
      <w:rFonts w:ascii="Arial Unicode MS" w:hAnsi="Arial Unicode MS" w:eastAsia="Arial Unicode MS" w:cs="Arial Unicode MS"/>
    </w:rPr>
  </w:style>
  <w:style w:type="paragraph" w:styleId="9">
    <w:name w:val="Title"/>
    <w:basedOn w:val="1"/>
    <w:next w:val="1"/>
    <w:link w:val="19"/>
    <w:qFormat/>
    <w:uiPriority w:val="0"/>
    <w:pPr>
      <w:spacing w:before="240" w:after="60"/>
      <w:jc w:val="center"/>
      <w:outlineLvl w:val="0"/>
    </w:pPr>
    <w:rPr>
      <w:rFonts w:ascii="Cambria" w:hAnsi="Cambria"/>
      <w:b/>
      <w:bCs/>
      <w:kern w:val="28"/>
      <w:sz w:val="32"/>
      <w:szCs w:val="32"/>
    </w:rPr>
  </w:style>
  <w:style w:type="paragraph" w:styleId="10">
    <w:name w:val="annotation subject"/>
    <w:basedOn w:val="3"/>
    <w:next w:val="3"/>
    <w:link w:val="23"/>
    <w:semiHidden/>
    <w:unhideWhenUsed/>
    <w:uiPriority w:val="99"/>
    <w:rPr>
      <w:b/>
      <w:bCs/>
    </w:rPr>
  </w:style>
  <w:style w:type="character" w:styleId="13">
    <w:name w:val="page number"/>
    <w:basedOn w:val="12"/>
    <w:uiPriority w:val="0"/>
  </w:style>
  <w:style w:type="character" w:styleId="14">
    <w:name w:val="Hyperlink"/>
    <w:unhideWhenUsed/>
    <w:uiPriority w:val="99"/>
    <w:rPr>
      <w:color w:val="0000FF"/>
      <w:u w:val="single"/>
    </w:rPr>
  </w:style>
  <w:style w:type="character" w:styleId="15">
    <w:name w:val="annotation reference"/>
    <w:basedOn w:val="12"/>
    <w:semiHidden/>
    <w:unhideWhenUsed/>
    <w:uiPriority w:val="99"/>
    <w:rPr>
      <w:sz w:val="16"/>
      <w:szCs w:val="16"/>
    </w:rPr>
  </w:style>
  <w:style w:type="character" w:customStyle="1" w:styleId="16">
    <w:name w:val="Heading 8 Char"/>
    <w:basedOn w:val="12"/>
    <w:link w:val="2"/>
    <w:uiPriority w:val="0"/>
    <w:rPr>
      <w:rFonts w:ascii="Arial" w:hAnsi="Arial" w:eastAsia="Times New Roman" w:cs="Arial"/>
      <w:b/>
      <w:bCs/>
      <w:sz w:val="24"/>
      <w:szCs w:val="24"/>
      <w:shd w:val="clear" w:color="auto" w:fill="FFFF99"/>
      <w:lang w:val="en-GB" w:eastAsia="fr-FR"/>
    </w:rPr>
  </w:style>
  <w:style w:type="character" w:customStyle="1" w:styleId="17">
    <w:name w:val="Footer Char"/>
    <w:basedOn w:val="12"/>
    <w:link w:val="6"/>
    <w:uiPriority w:val="0"/>
    <w:rPr>
      <w:rFonts w:ascii="Times New Roman" w:hAnsi="Times New Roman" w:eastAsia="Times New Roman" w:cs="Times New Roman"/>
      <w:sz w:val="24"/>
      <w:szCs w:val="24"/>
      <w:lang w:eastAsia="fr-FR"/>
    </w:rPr>
  </w:style>
  <w:style w:type="character" w:customStyle="1" w:styleId="18">
    <w:name w:val="Body Text Char"/>
    <w:basedOn w:val="12"/>
    <w:link w:val="4"/>
    <w:uiPriority w:val="0"/>
    <w:rPr>
      <w:rFonts w:ascii="Arial" w:hAnsi="Arial" w:eastAsia="Times New Roman" w:cs="Arial"/>
      <w:sz w:val="24"/>
      <w:szCs w:val="24"/>
      <w:lang w:val="en-GB" w:eastAsia="fr-FR"/>
    </w:rPr>
  </w:style>
  <w:style w:type="character" w:customStyle="1" w:styleId="19">
    <w:name w:val="Title Char"/>
    <w:basedOn w:val="12"/>
    <w:link w:val="9"/>
    <w:uiPriority w:val="0"/>
    <w:rPr>
      <w:rFonts w:ascii="Cambria" w:hAnsi="Cambria" w:eastAsia="Times New Roman" w:cs="Times New Roman"/>
      <w:b/>
      <w:bCs/>
      <w:kern w:val="28"/>
      <w:sz w:val="32"/>
      <w:szCs w:val="32"/>
      <w:lang w:eastAsia="fr-FR"/>
    </w:rPr>
  </w:style>
  <w:style w:type="character" w:customStyle="1" w:styleId="20">
    <w:name w:val="Header Char"/>
    <w:basedOn w:val="12"/>
    <w:link w:val="7"/>
    <w:uiPriority w:val="99"/>
    <w:rPr>
      <w:rFonts w:ascii="Times New Roman" w:hAnsi="Times New Roman" w:eastAsia="Times New Roman" w:cs="Times New Roman"/>
      <w:sz w:val="24"/>
      <w:szCs w:val="24"/>
      <w:lang w:eastAsia="fr-FR"/>
    </w:rPr>
  </w:style>
  <w:style w:type="character" w:customStyle="1" w:styleId="21">
    <w:name w:val="Balloon Text Char"/>
    <w:basedOn w:val="12"/>
    <w:link w:val="5"/>
    <w:semiHidden/>
    <w:uiPriority w:val="99"/>
    <w:rPr>
      <w:rFonts w:ascii="Tahoma" w:hAnsi="Tahoma" w:eastAsia="Times New Roman" w:cs="Tahoma"/>
      <w:sz w:val="16"/>
      <w:szCs w:val="16"/>
      <w:lang w:eastAsia="fr-FR"/>
    </w:rPr>
  </w:style>
  <w:style w:type="character" w:customStyle="1" w:styleId="22">
    <w:name w:val="Comment Text Char"/>
    <w:basedOn w:val="12"/>
    <w:link w:val="3"/>
    <w:uiPriority w:val="99"/>
    <w:rPr>
      <w:rFonts w:ascii="Times New Roman" w:hAnsi="Times New Roman" w:eastAsia="Times New Roman" w:cs="Times New Roman"/>
      <w:sz w:val="20"/>
      <w:szCs w:val="20"/>
      <w:lang w:eastAsia="fr-FR"/>
    </w:rPr>
  </w:style>
  <w:style w:type="character" w:customStyle="1" w:styleId="23">
    <w:name w:val="Comment Subject Char"/>
    <w:basedOn w:val="22"/>
    <w:link w:val="10"/>
    <w:semiHidden/>
    <w:uiPriority w:val="99"/>
    <w:rPr>
      <w:rFonts w:ascii="Times New Roman" w:hAnsi="Times New Roman" w:eastAsia="Times New Roman" w:cs="Times New Roman"/>
      <w:b/>
      <w:bCs/>
      <w:sz w:val="20"/>
      <w:szCs w:val="20"/>
      <w:lang w:eastAsia="fr-FR"/>
    </w:rPr>
  </w:style>
  <w:style w:type="paragraph" w:customStyle="1" w:styleId="24">
    <w:name w:val="Body"/>
    <w:uiPriority w:val="0"/>
    <w:pPr>
      <w:spacing w:after="0" w:line="240" w:lineRule="auto"/>
    </w:pPr>
    <w:rPr>
      <w:rFonts w:ascii="Helvetica" w:hAnsi="Arial Unicode MS" w:eastAsia="Arial Unicode MS" w:cs="Arial Unicode MS"/>
      <w:color w:val="000000"/>
      <w:sz w:val="22"/>
      <w:szCs w:val="22"/>
      <w:lang w:val="en-US" w:eastAsia="en-US" w:bidi="ar-SA"/>
    </w:rPr>
  </w:style>
  <w:style w:type="paragraph" w:styleId="25">
    <w:name w:val="List Paragraph"/>
    <w:basedOn w:val="1"/>
    <w:qFormat/>
    <w:uiPriority w:val="34"/>
    <w:pPr>
      <w:ind w:left="720"/>
      <w:contextualSpacing/>
    </w:pPr>
  </w:style>
  <w:style w:type="paragraph" w:customStyle="1" w:styleId="26">
    <w:name w:val="x_msolistparagraph"/>
    <w:basedOn w:val="1"/>
    <w:uiPriority w:val="0"/>
    <w:pPr>
      <w:ind w:left="720"/>
    </w:pPr>
    <w:rPr>
      <w:rFonts w:ascii="Calibri" w:hAnsi="Calibri" w:cs="Calibri" w:eastAsiaTheme="minorEastAsia"/>
      <w:sz w:val="22"/>
      <w:szCs w:val="22"/>
      <w:lang w:eastAsia="zh-CN"/>
    </w:rPr>
  </w:style>
  <w:style w:type="paragraph" w:customStyle="1" w:styleId="27">
    <w:name w:val="Revision"/>
    <w:hidden/>
    <w:semiHidden/>
    <w:uiPriority w:val="99"/>
    <w:pPr>
      <w:spacing w:after="0" w:line="240" w:lineRule="auto"/>
    </w:pPr>
    <w:rPr>
      <w:rFonts w:ascii="Times New Roman" w:hAnsi="Times New Roman" w:eastAsia="Times New Roman" w:cs="Times New Roman"/>
      <w:sz w:val="24"/>
      <w:szCs w:val="24"/>
      <w:lang w:val="fr-FR" w:eastAsia="fr-FR" w:bidi="ar-SA"/>
    </w:rPr>
  </w:style>
  <w:style w:type="character" w:customStyle="1" w:styleId="28">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ct:contentTypeSchema xmlns:ma="http://schemas.microsoft.com/office/2006/metadata/properties/metaAttributes" xmlns:ct="http://schemas.microsoft.com/office/2006/metadata/contentType" ma:contentTypeVersion="18" ma:contentTypeDescription="Create a new document." ma:versionID="11445bd0ebf807885b7ac9eb72c17799" ma:contentTypeName="Document" ma:contentTypeScope="" ct:_="" ma:contentTypeID="0x010100E39BD250CBD11D409816A6C5369FE396" ma:_="">
  <xsd:schema xmlns:xs="http://www.w3.org/2001/XMLSchema" xmlns:ns2="ec9d1205-0d59-41d9-aedc-feed8660e626" xmlns:ns3="2b7dcbda-7613-480c-8c1d-6f8f715ee140" xmlns:xsd="http://www.w3.org/2001/XMLSchema" xmlns:p="http://schemas.microsoft.com/office/2006/metadata/properties" ns3:_="" ma:fieldsID="f431308ae457ffa233c8842c99856c79" ns2:_="" targetNamespace="http://schemas.microsoft.com/office/2006/metadata/properties" ma:root="true">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ec9d1205-0d59-41d9-aedc-feed8660e626">
    <xsd:import namespace="http://schemas.microsoft.com/office/2006/documentManagement/types"/>
    <xsd:import namespace="http://schemas.microsoft.com/office/infopath/2007/PartnerControls"/>
    <xsd:element ma:readOnly="true" ma:hidden="true" ma:internalName="MediaServiceMetadata" ma:displayName="MediaServiceMetadata" nillable="true" name="MediaServiceMetadata" ma:index="8">
      <xsd:simpleType>
        <xsd:restriction base="dms:Note"/>
      </xsd:simpleType>
    </xsd:element>
    <xsd:element ma:readOnly="true" ma:hidden="true" ma:internalName="MediaServiceFastMetadata" ma:displayName="MediaServiceFastMetadata" nillable="true" name="MediaServiceFastMetadata" ma:index="9">
      <xsd:simpleType>
        <xsd:restriction base="dms:Note"/>
      </xsd:simpleType>
    </xsd:element>
    <xsd:element ma:readOnly="true" ma:hidden="true" ma:internalName="MediaServiceAutoKeyPoints" ma:displayName="MediaServiceAutoKeyPoints" nillable="true" name="MediaServiceAutoKeyPoints" ma:index="10">
      <xsd:simpleType>
        <xsd:restriction base="dms:Note"/>
      </xsd:simpleType>
    </xsd:element>
    <xsd:element ma:readOnly="true" ma:internalName="MediaServiceKeyPoints" ma:displayName="KeyPoints" nillable="true" name="MediaServiceKeyPoints" ma:index="11">
      <xsd:simpleType>
        <xsd:restriction base="dms:Note">
          <xsd:maxLength value="255"/>
        </xsd:restriction>
      </xsd:simpleType>
    </xsd:element>
    <xsd:element ma:readOnly="true" ma:hidden="true" ma:internalName="MediaServiceDateTaken" ma:displayName="MediaServiceDateTaken" nillable="true" name="MediaServiceDateTaken" ma:index="14">
      <xsd:simpleType>
        <xsd:restriction base="dms:Text"/>
      </xsd:simpleType>
    </xsd:element>
    <xsd:element ma:readOnly="true" ma:internalName="MediaServiceAutoTags" ma:displayName="Tags" nillable="true" name="MediaServiceAutoTags" ma:index="15">
      <xsd:simpleType>
        <xsd:restriction base="dms:Text"/>
      </xsd:simpleType>
    </xsd:element>
    <xsd:element ma:readOnly="true" ma:internalName="MediaServiceLocation" ma:displayName="Location" nillable="true" name="MediaServiceLocation" ma:index="16">
      <xsd:simpleType>
        <xsd:restriction base="dms:Text"/>
      </xsd:simpleType>
    </xsd:element>
    <xsd:element ma:readOnly="true" ma:hidden="true" ma:internalName="MediaServiceGenerationTime" ma:displayName="MediaServiceGenerationTime" nillable="true" name="MediaServiceGenerationTime" ma:index="17">
      <xsd:simpleType>
        <xsd:restriction base="dms:Text"/>
      </xsd:simpleType>
    </xsd:element>
    <xsd:element ma:readOnly="true" ma:hidden="true" ma:internalName="MediaServiceEventHashCode" ma:displayName="MediaServiceEventHashCode" nillable="true" name="MediaServiceEventHashCode" ma:index="18">
      <xsd:simpleType>
        <xsd:restriction base="dms:Text"/>
      </xsd:simpleType>
    </xsd:element>
    <xsd:element ma:readOnly="true" ma:internalName="MediaServiceOCR" ma:displayName="Extracted Text" nillable="true" name="MediaServiceOCR" ma:index="19">
      <xsd:simpleType>
        <xsd:restriction base="dms:Note">
          <xsd:maxLength value="255"/>
        </xsd:restriction>
      </xsd:simpleType>
    </xsd:element>
    <xsd:element ma:readOnly="true" ma:internalName="MediaLengthInSeconds" ma:displayName="Length (seconds)" nillable="true" name="MediaLengthInSeconds" ma:index="20">
      <xsd:simpleType>
        <xsd:restriction base="dms:Unknown"/>
      </xsd:simpleType>
    </xsd:element>
    <xsd:element ma:taxonomyFieldName="MediaServiceImageTags" ma:anchorId="fba54fb3-c3e1-fe81-a776-ca4b69148c4d" ma:readOnly="false" ma:taxonomyMulti="true" ma:internalName="lcf76f155ced4ddcb4097134ff3c332f" ma:taxonomy="true" ma:displayName="Image Tags" nillable="true" ma:open="true" ma:isKeyword="false" ma:sspId="20cec18f-64e3-475c-b7ef-ac8bd502240b" name="lcf76f155ced4ddcb4097134ff3c332f" ma:termSetId="09814cd3-568e-fe90-9814-8d621ff8fb84" ma:index="22" ma:fieldId="{5cf76f15-5ced-4ddc-b409-7134ff3c332f}">
      <xsd:complexType>
        <xsd:sequence>
          <xsd:element maxOccurs="1" ref="pc:Terms" minOccurs="0"/>
        </xsd:sequence>
      </xsd:complexType>
    </xsd:element>
    <xsd:element ma:readOnly="true" ma:hidden="true" ma:internalName="MediaServiceObjectDetectorVersions" ma:displayName="MediaServiceObjectDetectorVersions" nillable="true" name="MediaServiceObjectDetectorVersions" ma:index="24" ma:indexed="true">
      <xsd:simpleType>
        <xsd:restriction base="dms:Text"/>
      </xsd:simpleType>
    </xsd:element>
    <xsd:element ma:readOnly="true" ma:hidden="true" ma:internalName="MediaServiceSearchProperties" ma:displayName="MediaServiceSearchProperties" nillable="true" name="MediaServiceSearchProperties" ma:index="25">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2b7dcbda-7613-480c-8c1d-6f8f715ee140">
    <xsd:import namespace="http://schemas.microsoft.com/office/2006/documentManagement/types"/>
    <xsd:import namespace="http://schemas.microsoft.com/office/infopath/2007/PartnerControls"/>
    <xsd:element ma:readOnly="true" ma:internalName="SharedWithUsers" ma:displayName="Shared With" nillable="true" name="SharedWithUsers" ma:index="12">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readOnly="true" ma:internalName="SharedWithDetails" ma:displayName="Shared With Details" nillable="true" name="SharedWithDetails" ma:index="13">
      <xsd:simpleType>
        <xsd:restriction base="dms:Note">
          <xsd:maxLength value="255"/>
        </xsd:restriction>
      </xsd:simpleType>
    </xsd:element>
    <xsd:element ma:hidden="true" ma:internalName="TaxCatchAll" ma:showField="CatchAllData" ma:displayName="Taxonomy Catch All Column" ma:list="{5aa18186-c5b1-432e-8a20-e708df92eed6}" nillable="true" name="TaxCatchAll" ma:index="23" ma:web="2b7dcbda-7613-480c-8c1d-6f8f715ee140">
      <xsd:complexType>
        <xsd:complexContent>
          <xsd:extension base="dms:MultiChoiceLookup">
            <xsd:sequence>
              <xsd:element type="dms:Lookup" nillable="true" maxOccurs="unbounded" name="Value" minOccurs="0"/>
            </xsd:sequence>
          </xsd:extension>
        </xsd:complexContent>
      </xsd:complexType>
    </xsd:element>
  </xsd:schema>
  <xsd:schema xmlns="http://schemas.openxmlformats.org/package/2006/metadata/core-properties" xmlns:xsd="http://www.w3.org/2001/XMLSchema" xmlns:dcterms="http://purl.org/dc/terms/" xmlns:xsi="http://www.w3.org/2001/XMLSchema-instance" xmlns:dc="http://purl.org/dc/elements/1.1/"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type="xsd:string" ma:displayName="Content Type" maxOccurs="1" name="contentType" minOccurs="0" ma:index="0"/>
        <xsd:element ma:displayName="Title" maxOccurs="1" ref="dc:title" minOccurs="0" ma:index="4"/>
        <xsd:element maxOccurs="1" ref="dc:subject" minOccurs="0"/>
        <xsd:element maxOccurs="1" ref="dc:description" minOccurs="0"/>
        <xsd:element type="xsd:string" maxOccurs="1" name="keywords" minOccurs="0"/>
        <xsd:element maxOccurs="1" ref="dc:language"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maxOccurs="1" ref="dcterms:modified" minOccurs="0"/>
        <xsd:element type="xsd:string" maxOccurs="1" name="contentStatus"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487A409-9E9F-447F-A22A-070D237D687F}">
  <ds:schemaRefs/>
</ds:datastoreItem>
</file>

<file path=customXml/itemProps2.xml><?xml version="1.0" encoding="utf-8"?>
<ds:datastoreItem xmlns:ds="http://schemas.openxmlformats.org/officeDocument/2006/customXml" ds:itemID="{107ED472-294A-4551-80B8-CD3C2BDC8D11}">
  <ds:schemaRefs/>
</ds:datastoreItem>
</file>

<file path=customXml/itemProps3.xml><?xml version="1.0" encoding="utf-8"?>
<ds:datastoreItem xmlns:ds="http://schemas.openxmlformats.org/officeDocument/2006/customXml" ds:itemID="{912DCE51-A10D-44AA-95C6-2831454CCD54}">
  <ds:schemaRefs/>
</ds:datastoreItem>
</file>

<file path=customXml/itemProps4.xml><?xml version="1.0" encoding="utf-8"?>
<ds:datastoreItem xmlns:ds="http://schemas.openxmlformats.org/officeDocument/2006/customXml" ds:itemID="{E550067B-B19B-4627-A15E-2FD4B79C1F43}">
  <ds:schemaRefs/>
</ds:datastoreItem>
</file>

<file path=docProps/app.xml><?xml version="1.0" encoding="utf-8"?>
<Properties xmlns="http://schemas.openxmlformats.org/officeDocument/2006/extended-properties" xmlns:vt="http://schemas.openxmlformats.org/officeDocument/2006/docPropsVTypes">
  <Template>Normal</Template>
  <Pages>3</Pages>
  <Words>806</Words>
  <Characters>4598</Characters>
  <Lines>38</Lines>
  <Paragraphs>10</Paragraphs>
  <TotalTime>0</TotalTime>
  <ScaleCrop>false</ScaleCrop>
  <LinksUpToDate>false</LinksUpToDate>
  <CharactersWithSpaces>5394</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2026-02-19T00:35:00Z</dcterms:created>
  <dc:creator>UNESCO</dc:creator>
  <cp:lastModifiedBy>CH</cp:lastModifiedBy>
  <cp:lastPrinted>2018-09-12T23:05:00Z</cp:lastPrinted>
  <dcterms:modified xsi:type="dcterms:W3CDTF">2026-02-21T13:22:31Z</dcterms:modified>
  <dc:title>TORs_Traineeship UNITWIN_ED_FLI_final</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7d206f82-1699-4580-bd30-d292775ca37e</vt:lpwstr>
  </property>
  <property fmtid="{D5CDD505-2E9C-101B-9397-08002B2CF9AE}" pid="4" name="KSOProductBuildVer">
    <vt:lpwstr>2052-12.1.24709.24709</vt:lpwstr>
  </property>
  <property fmtid="{D5CDD505-2E9C-101B-9397-08002B2CF9AE}" pid="5" name="ICV">
    <vt:lpwstr>FDD5568B057D794017419969B7E31FF6_42</vt:lpwstr>
  </property>
</Properties>
</file>