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93995">
      <w:pPr>
        <w:pStyle w:val="9"/>
        <w:jc w:val="left"/>
        <w:rPr>
          <w:i/>
          <w:color w:val="376092" w:themeColor="accent1" w:themeShade="BF"/>
          <w:sz w:val="40"/>
          <w:szCs w:val="40"/>
          <w:lang w:val="en-GB"/>
        </w:rPr>
      </w:pPr>
      <w:r>
        <w:rPr>
          <w:b w:val="0"/>
          <w:color w:val="376092" w:themeColor="accent1" w:themeShade="BF"/>
          <w:lang w:val="en-US"/>
        </w:rPr>
        <w:drawing>
          <wp:inline distT="0" distB="0" distL="0" distR="0">
            <wp:extent cx="1830705" cy="38798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55646" cy="393442"/>
                    </a:xfrm>
                    <a:prstGeom prst="rect">
                      <a:avLst/>
                    </a:prstGeom>
                  </pic:spPr>
                </pic:pic>
              </a:graphicData>
            </a:graphic>
          </wp:inline>
        </w:drawing>
      </w:r>
    </w:p>
    <w:p w14:paraId="44C8F1FA">
      <w:pPr>
        <w:pStyle w:val="8"/>
        <w:spacing w:before="0" w:beforeAutospacing="0" w:after="0" w:afterAutospacing="0"/>
        <w:jc w:val="center"/>
        <w:rPr>
          <w:rFonts w:asciiTheme="majorHAnsi" w:hAnsiTheme="majorHAnsi"/>
          <w:b/>
          <w:color w:val="376092" w:themeColor="accent1" w:themeShade="BF"/>
          <w:sz w:val="32"/>
          <w:szCs w:val="32"/>
          <w:lang w:val="en-US"/>
        </w:rPr>
      </w:pPr>
    </w:p>
    <w:p w14:paraId="6DDB8152">
      <w:pPr>
        <w:pStyle w:val="8"/>
        <w:spacing w:before="0" w:beforeAutospacing="0" w:after="0" w:afterAutospacing="0"/>
        <w:jc w:val="center"/>
        <w:rPr>
          <w:rFonts w:ascii="Arial" w:hAnsi="Arial" w:cs="Arial" w:eastAsiaTheme="minorHAnsi"/>
          <w:b/>
          <w:color w:val="376092" w:themeColor="accent1" w:themeShade="BF"/>
          <w:sz w:val="32"/>
          <w:szCs w:val="32"/>
          <w:lang w:val="en-CA" w:eastAsia="en-US"/>
        </w:rPr>
      </w:pPr>
      <w:r>
        <w:rPr>
          <w:rFonts w:ascii="Arial" w:hAnsi="Arial" w:cs="Arial" w:eastAsiaTheme="minorHAnsi"/>
          <w:b/>
          <w:color w:val="376092" w:themeColor="accent1" w:themeShade="BF"/>
          <w:sz w:val="32"/>
          <w:szCs w:val="32"/>
          <w:lang w:val="en-CA" w:eastAsia="en-US"/>
        </w:rPr>
        <w:t>UNESCO Sponsored Traineeship Programme</w:t>
      </w:r>
    </w:p>
    <w:p w14:paraId="1E763A24">
      <w:pPr>
        <w:pStyle w:val="7"/>
        <w:tabs>
          <w:tab w:val="clear" w:pos="4536"/>
          <w:tab w:val="clear" w:pos="9072"/>
        </w:tabs>
        <w:jc w:val="center"/>
        <w:rPr>
          <w:rFonts w:ascii="Arial" w:hAnsi="Arial" w:cs="Arial" w:eastAsiaTheme="minorHAnsi"/>
          <w:b/>
          <w:sz w:val="28"/>
          <w:szCs w:val="28"/>
          <w:lang w:val="en-CA" w:eastAsia="en-US"/>
        </w:rPr>
      </w:pPr>
    </w:p>
    <w:p w14:paraId="4FB95304">
      <w:pPr>
        <w:pStyle w:val="7"/>
        <w:tabs>
          <w:tab w:val="clear" w:pos="4536"/>
          <w:tab w:val="clear" w:pos="9072"/>
        </w:tabs>
        <w:jc w:val="center"/>
        <w:rPr>
          <w:rFonts w:ascii="Arial" w:hAnsi="Arial" w:cs="Arial" w:eastAsiaTheme="minorHAnsi"/>
          <w:b/>
          <w:sz w:val="28"/>
          <w:szCs w:val="28"/>
          <w:lang w:val="en-CA" w:eastAsia="en-US"/>
        </w:rPr>
      </w:pPr>
      <w:r>
        <w:rPr>
          <w:rFonts w:ascii="Arial" w:hAnsi="Arial" w:cs="Arial" w:eastAsiaTheme="minorHAnsi"/>
          <w:b/>
          <w:sz w:val="28"/>
          <w:szCs w:val="28"/>
          <w:lang w:val="en-CA" w:eastAsia="en-US"/>
        </w:rPr>
        <w:t>Terms of Reference</w:t>
      </w:r>
    </w:p>
    <w:p w14:paraId="47F98D5D">
      <w:pPr>
        <w:pStyle w:val="7"/>
        <w:tabs>
          <w:tab w:val="clear" w:pos="4536"/>
          <w:tab w:val="clear" w:pos="9072"/>
        </w:tabs>
        <w:jc w:val="center"/>
        <w:rPr>
          <w:rFonts w:asciiTheme="majorHAnsi" w:hAnsiTheme="majorHAnsi"/>
          <w:b/>
          <w:sz w:val="28"/>
          <w:szCs w:val="28"/>
          <w:lang w:val="en-US"/>
        </w:rPr>
      </w:pPr>
    </w:p>
    <w:p w14:paraId="3FB4BBB3">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 xml:space="preserve">GENERAL INFORMATION </w:t>
      </w:r>
    </w:p>
    <w:p w14:paraId="41131865">
      <w:pPr>
        <w:spacing w:after="120"/>
        <w:rPr>
          <w:rFonts w:asciiTheme="minorHAnsi" w:hAnsiTheme="minorHAnsi"/>
          <w:b/>
          <w:lang w:val="en-US"/>
        </w:rPr>
      </w:pPr>
      <w:r>
        <w:rPr>
          <w:rFonts w:asciiTheme="minorHAnsi" w:hAnsiTheme="minorHAnsi" w:cstheme="minorHAnsi"/>
          <w:b/>
          <w:lang w:val="en-US"/>
        </w:rPr>
        <w:t xml:space="preserve">Title: </w:t>
      </w:r>
      <w:r>
        <w:rPr>
          <w:rFonts w:hint="eastAsia" w:asciiTheme="minorHAnsi" w:hAnsiTheme="minorHAnsi" w:cstheme="minorHAnsi"/>
          <w:bCs/>
          <w:lang w:val="en-US"/>
        </w:rPr>
        <w:t>Trainee - Valorization and Outreach</w:t>
      </w:r>
    </w:p>
    <w:p w14:paraId="186EE21A">
      <w:pPr>
        <w:spacing w:after="120"/>
        <w:rPr>
          <w:rFonts w:asciiTheme="minorHAnsi" w:hAnsiTheme="minorHAnsi"/>
          <w:b/>
          <w:lang w:val="en-US"/>
        </w:rPr>
      </w:pPr>
      <w:r>
        <w:rPr>
          <w:rFonts w:asciiTheme="minorHAnsi" w:hAnsiTheme="minorHAnsi"/>
          <w:b/>
          <w:lang w:val="en-US"/>
        </w:rPr>
        <w:t xml:space="preserve">Duration: </w:t>
      </w:r>
      <w:r>
        <w:rPr>
          <w:rFonts w:hint="eastAsia" w:ascii="Arial" w:hAnsi="Arial" w:eastAsia="宋体" w:cs="Arial"/>
          <w:sz w:val="20"/>
          <w:szCs w:val="20"/>
          <w:lang w:val="en-US" w:eastAsia="zh-CN"/>
        </w:rPr>
        <w:t>12</w:t>
      </w:r>
      <w:r>
        <w:rPr>
          <w:rFonts w:ascii="Arial" w:hAnsi="Arial" w:cs="Arial"/>
          <w:sz w:val="20"/>
          <w:szCs w:val="20"/>
          <w:lang w:val="en-US"/>
        </w:rPr>
        <w:t xml:space="preserve"> months</w:t>
      </w:r>
    </w:p>
    <w:p w14:paraId="70E4AD9A">
      <w:pPr>
        <w:spacing w:after="120"/>
        <w:rPr>
          <w:rFonts w:asciiTheme="minorHAnsi" w:hAnsiTheme="minorHAnsi"/>
          <w:b/>
          <w:lang w:val="en-US"/>
        </w:rPr>
      </w:pPr>
      <w:r>
        <w:rPr>
          <w:rFonts w:asciiTheme="minorHAnsi" w:hAnsiTheme="minorHAnsi"/>
          <w:b/>
          <w:lang w:val="en-US"/>
        </w:rPr>
        <w:t xml:space="preserve">Location: </w:t>
      </w:r>
      <w:r>
        <w:rPr>
          <w:rFonts w:ascii="Arial" w:hAnsi="Arial" w:cs="Arial"/>
          <w:sz w:val="20"/>
          <w:szCs w:val="20"/>
          <w:lang w:val="en-US"/>
        </w:rPr>
        <w:t>Perugia, Italy</w:t>
      </w:r>
    </w:p>
    <w:p w14:paraId="58311527">
      <w:pPr>
        <w:spacing w:after="120"/>
        <w:rPr>
          <w:rFonts w:asciiTheme="minorHAnsi" w:hAnsiTheme="minorHAnsi"/>
          <w:i/>
          <w:lang w:val="en-US"/>
        </w:rPr>
      </w:pPr>
      <w:r>
        <w:rPr>
          <w:rFonts w:asciiTheme="minorHAnsi" w:hAnsiTheme="minorHAnsi"/>
          <w:b/>
          <w:lang w:val="en-US"/>
        </w:rPr>
        <w:t>Organizational Unit</w:t>
      </w:r>
      <w:r>
        <w:rPr>
          <w:rFonts w:asciiTheme="minorHAnsi" w:hAnsiTheme="minorHAnsi"/>
          <w:lang w:val="en-US"/>
        </w:rPr>
        <w:t xml:space="preserve">:  </w:t>
      </w:r>
      <w:r>
        <w:rPr>
          <w:rFonts w:ascii="Arial" w:hAnsi="Arial" w:cs="Arial"/>
          <w:sz w:val="20"/>
          <w:szCs w:val="20"/>
          <w:lang w:val="en-US"/>
        </w:rPr>
        <w:t>SC/HYD/WWAP (World Water Assessment Programme)</w:t>
      </w:r>
    </w:p>
    <w:p w14:paraId="271FFE04">
      <w:pPr>
        <w:spacing w:after="120"/>
        <w:rPr>
          <w:rFonts w:asciiTheme="minorHAnsi" w:hAnsiTheme="minorHAnsi"/>
          <w:bCs/>
          <w:lang w:val="en-US"/>
        </w:rPr>
      </w:pPr>
      <w:r>
        <w:rPr>
          <w:rFonts w:asciiTheme="minorHAnsi" w:hAnsiTheme="minorHAnsi"/>
          <w:b/>
          <w:lang w:val="en-US"/>
        </w:rPr>
        <w:t xml:space="preserve">Supervisor (name, title): </w:t>
      </w:r>
      <w:r>
        <w:rPr>
          <w:rFonts w:asciiTheme="minorHAnsi" w:hAnsiTheme="minorHAnsi"/>
          <w:bCs/>
          <w:lang w:val="en-US"/>
        </w:rPr>
        <w:t>Bhanu Raja Neupane, WWAP Programme Specialist</w:t>
      </w:r>
    </w:p>
    <w:p w14:paraId="069E2FE6">
      <w:pPr>
        <w:spacing w:after="120"/>
        <w:rPr>
          <w:rFonts w:asciiTheme="minorHAnsi" w:hAnsiTheme="minorHAnsi"/>
          <w:b/>
          <w:lang w:val="en-US"/>
        </w:rPr>
      </w:pPr>
      <w:r>
        <w:rPr>
          <w:rFonts w:asciiTheme="minorHAnsi" w:hAnsiTheme="minorHAnsi"/>
          <w:b/>
          <w:lang w:val="en-US"/>
        </w:rPr>
        <w:t>Preferred Starting Date</w:t>
      </w:r>
      <w:r>
        <w:rPr>
          <w:rFonts w:asciiTheme="minorHAnsi" w:hAnsiTheme="minorHAnsi"/>
          <w:bCs/>
          <w:lang w:val="en-US"/>
        </w:rPr>
        <w:t>: Mid-April OR Mid-September 2026</w:t>
      </w:r>
    </w:p>
    <w:p w14:paraId="1D70976F">
      <w:pPr>
        <w:pStyle w:val="7"/>
        <w:tabs>
          <w:tab w:val="clear" w:pos="4536"/>
          <w:tab w:val="clear" w:pos="9072"/>
        </w:tabs>
        <w:jc w:val="center"/>
        <w:rPr>
          <w:rFonts w:asciiTheme="majorHAnsi" w:hAnsiTheme="majorHAnsi"/>
          <w:b/>
          <w:sz w:val="28"/>
          <w:szCs w:val="28"/>
          <w:lang w:val="en-US"/>
        </w:rPr>
      </w:pPr>
      <w:bookmarkStart w:id="1" w:name="_GoBack"/>
      <w:bookmarkEnd w:id="1"/>
    </w:p>
    <w:p w14:paraId="13E7E356">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 xml:space="preserve">DESCRIPTION OF THE TRAINEESHIP </w:t>
      </w:r>
    </w:p>
    <w:p w14:paraId="371920B0">
      <w:pPr>
        <w:spacing w:after="120"/>
        <w:rPr>
          <w:rFonts w:asciiTheme="minorHAnsi" w:hAnsiTheme="minorHAnsi"/>
          <w:iCs/>
          <w:lang w:val="en-US"/>
        </w:rPr>
      </w:pPr>
      <w:r>
        <w:rPr>
          <w:rFonts w:asciiTheme="minorHAnsi" w:hAnsiTheme="minorHAnsi"/>
          <w:iCs/>
          <w:lang w:val="en-US"/>
        </w:rPr>
        <w:t>Under the overall authority of the Coordinator of the UNESCO World Water Assessment Programme (WWAP) the incumbent will focus on the implementation and provide strategic lead to the activities related to a) policy-science dialogue and advocacy and b) valorization of WWAP and United Nations World Water Development Reports (UNWWDR):</w:t>
      </w:r>
    </w:p>
    <w:p w14:paraId="4E9ABBF3">
      <w:pPr>
        <w:pStyle w:val="7"/>
        <w:rPr>
          <w:rFonts w:asciiTheme="minorHAnsi" w:hAnsiTheme="minorHAnsi" w:cstheme="minorHAnsi"/>
          <w:b/>
          <w:bCs/>
          <w:iCs/>
          <w:lang w:val="en-US"/>
        </w:rPr>
      </w:pPr>
      <w:r>
        <w:rPr>
          <w:rFonts w:asciiTheme="minorHAnsi" w:hAnsiTheme="minorHAnsi" w:cstheme="minorHAnsi"/>
          <w:b/>
          <w:bCs/>
          <w:iCs/>
          <w:lang w:val="en-US"/>
        </w:rPr>
        <w:t>Policy-science Dialogue and Advocacy</w:t>
      </w:r>
    </w:p>
    <w:p w14:paraId="134D727D">
      <w:pPr>
        <w:pStyle w:val="7"/>
        <w:rPr>
          <w:rFonts w:asciiTheme="minorHAnsi" w:hAnsiTheme="minorHAnsi" w:cstheme="minorHAnsi"/>
          <w:b/>
          <w:bCs/>
          <w:iCs/>
          <w:lang w:val="en-US"/>
        </w:rPr>
      </w:pPr>
    </w:p>
    <w:p w14:paraId="2129439A">
      <w:pPr>
        <w:pStyle w:val="7"/>
        <w:rPr>
          <w:rFonts w:asciiTheme="minorHAnsi" w:hAnsiTheme="minorHAnsi" w:cstheme="minorHAnsi"/>
          <w:iCs/>
          <w:lang w:val="en-US"/>
        </w:rPr>
      </w:pPr>
      <w:r>
        <w:rPr>
          <w:rFonts w:asciiTheme="minorHAnsi" w:hAnsiTheme="minorHAnsi" w:cstheme="minorHAnsi"/>
          <w:iCs/>
          <w:lang w:val="en-US"/>
        </w:rPr>
        <w:t>Develop policy-relevant content for the WWDR series and other WWAP publications, enhancing the policy-science dialogue.</w:t>
      </w:r>
    </w:p>
    <w:p w14:paraId="47133B1E">
      <w:pPr>
        <w:pStyle w:val="7"/>
        <w:rPr>
          <w:rFonts w:asciiTheme="minorHAnsi" w:hAnsiTheme="minorHAnsi" w:cstheme="minorHAnsi"/>
          <w:iCs/>
          <w:lang w:val="en-US"/>
        </w:rPr>
      </w:pPr>
      <w:r>
        <w:rPr>
          <w:rFonts w:asciiTheme="minorHAnsi" w:hAnsiTheme="minorHAnsi" w:cstheme="minorHAnsi"/>
          <w:iCs/>
          <w:lang w:val="en-US"/>
        </w:rPr>
        <w:t>Analyze and leverage existing global and regional assessments to support the development of synthesis documents, policy briefs, reviews, and official communications, including speeches, articles, and letters.</w:t>
      </w:r>
    </w:p>
    <w:p w14:paraId="5D43D2EA">
      <w:pPr>
        <w:pStyle w:val="7"/>
        <w:rPr>
          <w:rFonts w:asciiTheme="minorHAnsi" w:hAnsiTheme="minorHAnsi" w:cstheme="minorHAnsi"/>
          <w:iCs/>
          <w:lang w:val="en-US"/>
        </w:rPr>
      </w:pPr>
    </w:p>
    <w:p w14:paraId="47CFD560">
      <w:pPr>
        <w:pStyle w:val="7"/>
        <w:rPr>
          <w:rFonts w:asciiTheme="minorHAnsi" w:hAnsiTheme="minorHAnsi" w:cstheme="minorHAnsi"/>
          <w:b/>
          <w:bCs/>
          <w:iCs/>
          <w:lang w:val="en-US"/>
        </w:rPr>
      </w:pPr>
      <w:r>
        <w:rPr>
          <w:rFonts w:asciiTheme="minorHAnsi" w:hAnsiTheme="minorHAnsi" w:cstheme="minorHAnsi"/>
          <w:b/>
          <w:bCs/>
          <w:iCs/>
          <w:lang w:val="en-US"/>
        </w:rPr>
        <w:t xml:space="preserve">Outreach, Capacity Development and Communication </w:t>
      </w:r>
    </w:p>
    <w:p w14:paraId="04C9386A">
      <w:pPr>
        <w:pStyle w:val="7"/>
        <w:rPr>
          <w:rFonts w:asciiTheme="minorHAnsi" w:hAnsiTheme="minorHAnsi" w:cstheme="minorHAnsi"/>
          <w:b/>
          <w:bCs/>
          <w:iCs/>
          <w:lang w:val="en-US"/>
        </w:rPr>
      </w:pPr>
    </w:p>
    <w:p w14:paraId="0B3997CC">
      <w:pPr>
        <w:pStyle w:val="7"/>
        <w:rPr>
          <w:rFonts w:asciiTheme="minorHAnsi" w:hAnsiTheme="minorHAnsi" w:cstheme="minorHAnsi"/>
          <w:iCs/>
          <w:lang w:val="en-US"/>
        </w:rPr>
      </w:pPr>
      <w:r>
        <w:rPr>
          <w:rFonts w:asciiTheme="minorHAnsi" w:hAnsiTheme="minorHAnsi" w:cstheme="minorHAnsi"/>
          <w:iCs/>
          <w:lang w:val="en-US"/>
        </w:rPr>
        <w:t>Assist in the development and implementation of resource mobilization, communication planning, and knowledge management activities, to enhance the visibility and impact of WWAP’s outputs.</w:t>
      </w:r>
    </w:p>
    <w:p w14:paraId="3B81315F">
      <w:pPr>
        <w:pStyle w:val="7"/>
        <w:rPr>
          <w:rFonts w:asciiTheme="minorHAnsi" w:hAnsiTheme="minorHAnsi" w:cstheme="minorHAnsi"/>
          <w:iCs/>
          <w:lang w:val="en-US"/>
        </w:rPr>
      </w:pPr>
      <w:r>
        <w:rPr>
          <w:rFonts w:asciiTheme="minorHAnsi" w:hAnsiTheme="minorHAnsi" w:cstheme="minorHAnsi"/>
          <w:iCs/>
          <w:lang w:val="en-US"/>
        </w:rPr>
        <w:t>Collaborate in the design and execution of capacity development and learning initiatives based on key themes addressed in the WWDRs and other WWAP knowledge products, targeting policymakers, decision-makers, financiers, and water sector professionals.</w:t>
      </w:r>
    </w:p>
    <w:p w14:paraId="664FCF31">
      <w:pPr>
        <w:pStyle w:val="7"/>
        <w:rPr>
          <w:rFonts w:asciiTheme="minorHAnsi" w:hAnsiTheme="minorHAnsi" w:cstheme="minorHAnsi"/>
          <w:iCs/>
          <w:lang w:val="en-US"/>
        </w:rPr>
      </w:pPr>
      <w:r>
        <w:rPr>
          <w:rFonts w:asciiTheme="minorHAnsi" w:hAnsiTheme="minorHAnsi" w:cstheme="minorHAnsi"/>
          <w:iCs/>
          <w:lang w:val="en-US"/>
        </w:rPr>
        <w:t>Prepare Policy Briefs and short reports to inform decision-makers, maximize impact, and support evidence-based policy and decision-making processes on water.</w:t>
      </w:r>
    </w:p>
    <w:p w14:paraId="1ECC8828">
      <w:pPr>
        <w:pStyle w:val="7"/>
        <w:rPr>
          <w:rFonts w:asciiTheme="minorHAnsi" w:hAnsiTheme="minorHAnsi" w:cstheme="minorHAnsi"/>
          <w:iCs/>
          <w:lang w:val="en-US"/>
        </w:rPr>
      </w:pPr>
      <w:r>
        <w:rPr>
          <w:rFonts w:asciiTheme="minorHAnsi" w:hAnsiTheme="minorHAnsi" w:cstheme="minorHAnsi"/>
          <w:iCs/>
          <w:lang w:val="en-US"/>
        </w:rPr>
        <w:t>Conceptualize products to enhance the visibility of WWAP and UNWWDRs in relevant forums.</w:t>
      </w:r>
    </w:p>
    <w:p w14:paraId="77143EF8">
      <w:pPr>
        <w:pStyle w:val="7"/>
        <w:tabs>
          <w:tab w:val="clear" w:pos="4536"/>
          <w:tab w:val="clear" w:pos="9072"/>
        </w:tabs>
        <w:rPr>
          <w:rFonts w:asciiTheme="minorHAnsi" w:hAnsiTheme="minorHAnsi" w:cstheme="minorHAnsi"/>
          <w:iCs/>
          <w:lang w:val="en-US"/>
        </w:rPr>
      </w:pPr>
      <w:r>
        <w:rPr>
          <w:rFonts w:asciiTheme="minorHAnsi" w:hAnsiTheme="minorHAnsi" w:cstheme="minorHAnsi"/>
          <w:iCs/>
          <w:lang w:val="en-US"/>
        </w:rPr>
        <w:t>Coordinate WWAP’s presence and engagement in these events, working closely with the communications team and other staff to ensure alignment with strategic objectives.</w:t>
      </w:r>
    </w:p>
    <w:p w14:paraId="073CF889">
      <w:pPr>
        <w:pStyle w:val="7"/>
        <w:tabs>
          <w:tab w:val="clear" w:pos="4536"/>
          <w:tab w:val="clear" w:pos="9072"/>
        </w:tabs>
        <w:rPr>
          <w:rFonts w:asciiTheme="majorHAnsi" w:hAnsiTheme="majorHAnsi"/>
          <w:sz w:val="28"/>
          <w:szCs w:val="28"/>
          <w:lang w:val="en-US"/>
        </w:rPr>
      </w:pPr>
    </w:p>
    <w:p w14:paraId="64EA4C8D">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 xml:space="preserve">REQUIRED QUALIFICATIONS </w:t>
      </w:r>
    </w:p>
    <w:p w14:paraId="273BFB9F">
      <w:pPr>
        <w:jc w:val="both"/>
        <w:rPr>
          <w:rFonts w:asciiTheme="minorHAnsi" w:hAnsiTheme="minorHAnsi" w:cstheme="minorHAnsi"/>
          <w:lang w:val="en-US"/>
        </w:rPr>
      </w:pPr>
      <w:r>
        <w:rPr>
          <w:rFonts w:asciiTheme="minorHAnsi" w:hAnsiTheme="minorHAnsi"/>
          <w:b/>
          <w:lang w:val="en-US"/>
        </w:rPr>
        <w:t>Education:</w:t>
      </w:r>
      <w:r>
        <w:rPr>
          <w:rFonts w:asciiTheme="minorHAnsi" w:hAnsiTheme="minorHAnsi"/>
          <w:lang w:val="en-US"/>
        </w:rPr>
        <w:t xml:space="preserve"> </w:t>
      </w:r>
      <w:r>
        <w:rPr>
          <w:rFonts w:asciiTheme="minorHAnsi" w:hAnsiTheme="minorHAnsi" w:cstheme="minorHAnsi"/>
          <w:lang w:val="en-US"/>
        </w:rPr>
        <w:t>A Master’s degree or Bachelor's degree in a relevant field with at least two years of professional experience may be considered.</w:t>
      </w:r>
    </w:p>
    <w:p w14:paraId="473F1528">
      <w:pPr>
        <w:jc w:val="both"/>
        <w:rPr>
          <w:rFonts w:asciiTheme="minorHAnsi" w:hAnsiTheme="minorHAnsi" w:cstheme="minorHAnsi"/>
          <w:lang w:val="en-US"/>
        </w:rPr>
      </w:pPr>
    </w:p>
    <w:p w14:paraId="4330C60D">
      <w:pPr>
        <w:spacing w:after="120"/>
        <w:rPr>
          <w:rFonts w:asciiTheme="minorHAnsi" w:hAnsiTheme="minorHAnsi"/>
          <w:lang w:val="en-US"/>
        </w:rPr>
      </w:pPr>
      <w:r>
        <w:rPr>
          <w:rFonts w:asciiTheme="minorHAnsi" w:hAnsiTheme="minorHAnsi"/>
          <w:b/>
          <w:lang w:val="en-US"/>
        </w:rPr>
        <w:t>Subjects:</w:t>
      </w:r>
      <w:r>
        <w:rPr>
          <w:rFonts w:asciiTheme="minorHAnsi" w:hAnsiTheme="minorHAnsi" w:cstheme="minorHAnsi"/>
          <w:lang w:val="en-US"/>
        </w:rPr>
        <w:t xml:space="preserve"> Natural sciences, communications, international relations or policies and development.</w:t>
      </w:r>
    </w:p>
    <w:p w14:paraId="1D9D6AFF">
      <w:pPr>
        <w:spacing w:after="120"/>
        <w:rPr>
          <w:rFonts w:asciiTheme="minorHAnsi" w:hAnsiTheme="minorHAnsi"/>
          <w:lang w:val="en-US"/>
        </w:rPr>
      </w:pPr>
      <w:r>
        <w:rPr>
          <w:rFonts w:asciiTheme="minorHAnsi" w:hAnsiTheme="minorHAnsi"/>
          <w:b/>
          <w:lang w:val="en-US"/>
        </w:rPr>
        <w:t>Language skills:</w:t>
      </w:r>
      <w:r>
        <w:rPr>
          <w:rFonts w:asciiTheme="minorHAnsi" w:hAnsiTheme="minorHAnsi"/>
          <w:lang w:val="en-US"/>
        </w:rPr>
        <w:t xml:space="preserve"> </w:t>
      </w:r>
      <w:r>
        <w:rPr>
          <w:rFonts w:asciiTheme="minorHAnsi" w:hAnsiTheme="minorHAnsi" w:cstheme="minorHAnsi"/>
          <w:lang w:val="en-US"/>
        </w:rPr>
        <w:t>Excellent knowledge of English; knowledge of another UNESCO official language will be an asset.</w:t>
      </w:r>
    </w:p>
    <w:p w14:paraId="577A9070">
      <w:pPr>
        <w:spacing w:after="120"/>
        <w:rPr>
          <w:rFonts w:asciiTheme="minorHAnsi" w:hAnsiTheme="minorHAnsi"/>
          <w:b/>
          <w:lang w:val="en-US"/>
        </w:rPr>
      </w:pPr>
      <w:r>
        <w:rPr>
          <w:rFonts w:asciiTheme="minorHAnsi" w:hAnsiTheme="minorHAnsi"/>
          <w:b/>
          <w:lang w:val="en-US"/>
        </w:rPr>
        <w:t>Competencies and skills:</w:t>
      </w:r>
    </w:p>
    <w:p w14:paraId="40CE1509">
      <w:pPr>
        <w:pStyle w:val="22"/>
        <w:numPr>
          <w:ilvl w:val="0"/>
          <w:numId w:val="1"/>
        </w:numPr>
        <w:jc w:val="both"/>
        <w:rPr>
          <w:rFonts w:asciiTheme="minorHAnsi" w:hAnsiTheme="minorHAnsi" w:cstheme="minorHAnsi"/>
          <w:lang w:val="en-US"/>
        </w:rPr>
      </w:pPr>
      <w:r>
        <w:rPr>
          <w:rFonts w:asciiTheme="minorHAnsi" w:hAnsiTheme="minorHAnsi" w:cstheme="minorHAnsi"/>
          <w:lang w:val="en-US"/>
        </w:rPr>
        <w:t>Strong ability to work with an international team,</w:t>
      </w:r>
    </w:p>
    <w:p w14:paraId="3D09D3F6">
      <w:pPr>
        <w:pStyle w:val="22"/>
        <w:numPr>
          <w:ilvl w:val="0"/>
          <w:numId w:val="1"/>
        </w:numPr>
        <w:jc w:val="both"/>
        <w:rPr>
          <w:rFonts w:asciiTheme="minorHAnsi" w:hAnsiTheme="minorHAnsi" w:cstheme="minorHAnsi"/>
          <w:lang w:val="en-US"/>
        </w:rPr>
      </w:pPr>
      <w:r>
        <w:rPr>
          <w:rFonts w:asciiTheme="minorHAnsi" w:hAnsiTheme="minorHAnsi" w:cstheme="minorHAnsi"/>
          <w:lang w:val="en-US"/>
        </w:rPr>
        <w:t>Proven ability to establish and maintain partnerships with international stakeholders,</w:t>
      </w:r>
    </w:p>
    <w:p w14:paraId="3D15481A">
      <w:pPr>
        <w:pStyle w:val="22"/>
        <w:numPr>
          <w:ilvl w:val="0"/>
          <w:numId w:val="1"/>
        </w:numPr>
        <w:jc w:val="both"/>
        <w:rPr>
          <w:rFonts w:asciiTheme="minorHAnsi" w:hAnsiTheme="minorHAnsi" w:cstheme="minorHAnsi"/>
          <w:lang w:val="en-US"/>
        </w:rPr>
      </w:pPr>
      <w:r>
        <w:rPr>
          <w:rFonts w:asciiTheme="minorHAnsi" w:hAnsiTheme="minorHAnsi" w:cstheme="minorHAnsi"/>
          <w:lang w:val="en-US"/>
        </w:rPr>
        <w:t>Excellent organizational, coordination, and interpersonal skills,</w:t>
      </w:r>
    </w:p>
    <w:p w14:paraId="747BEF13">
      <w:pPr>
        <w:pStyle w:val="22"/>
        <w:numPr>
          <w:ilvl w:val="0"/>
          <w:numId w:val="1"/>
        </w:numPr>
        <w:jc w:val="both"/>
        <w:rPr>
          <w:rFonts w:asciiTheme="minorHAnsi" w:hAnsiTheme="minorHAnsi" w:cstheme="minorHAnsi"/>
          <w:lang w:val="en-US"/>
        </w:rPr>
      </w:pPr>
      <w:r>
        <w:rPr>
          <w:rFonts w:asciiTheme="minorHAnsi" w:hAnsiTheme="minorHAnsi" w:cstheme="minorHAnsi"/>
          <w:lang w:val="en-US"/>
        </w:rPr>
        <w:t>Solid understanding of international water agenda and Sustainable Development Goals,</w:t>
      </w:r>
    </w:p>
    <w:p w14:paraId="518F9FBE">
      <w:pPr>
        <w:pStyle w:val="22"/>
        <w:numPr>
          <w:ilvl w:val="0"/>
          <w:numId w:val="1"/>
        </w:numPr>
        <w:jc w:val="both"/>
        <w:rPr>
          <w:rFonts w:asciiTheme="minorHAnsi" w:hAnsiTheme="minorHAnsi" w:cstheme="minorHAnsi"/>
          <w:lang w:val="en-US"/>
        </w:rPr>
      </w:pPr>
      <w:r>
        <w:rPr>
          <w:rFonts w:asciiTheme="minorHAnsi" w:hAnsiTheme="minorHAnsi" w:cstheme="minorHAnsi"/>
          <w:lang w:val="en-US"/>
        </w:rPr>
        <w:t>Strong analytical skills with the ability to collect, synthesize and interpret information,</w:t>
      </w:r>
    </w:p>
    <w:p w14:paraId="0DF00EF9">
      <w:pPr>
        <w:pStyle w:val="22"/>
        <w:numPr>
          <w:ilvl w:val="0"/>
          <w:numId w:val="1"/>
        </w:numPr>
        <w:jc w:val="both"/>
        <w:rPr>
          <w:rFonts w:asciiTheme="minorHAnsi" w:hAnsiTheme="minorHAnsi" w:cstheme="minorHAnsi"/>
          <w:lang w:val="en-US"/>
        </w:rPr>
      </w:pPr>
      <w:r>
        <w:rPr>
          <w:rFonts w:asciiTheme="minorHAnsi" w:hAnsiTheme="minorHAnsi" w:cstheme="minorHAnsi"/>
          <w:lang w:val="en-US"/>
        </w:rPr>
        <w:t>Effective communication and stakeholder engagement skills to interact with a wide range of partners,</w:t>
      </w:r>
    </w:p>
    <w:p w14:paraId="4D7B1CDB">
      <w:pPr>
        <w:pStyle w:val="22"/>
        <w:numPr>
          <w:ilvl w:val="0"/>
          <w:numId w:val="1"/>
        </w:numPr>
        <w:jc w:val="both"/>
        <w:rPr>
          <w:rFonts w:asciiTheme="minorHAnsi" w:hAnsiTheme="minorHAnsi" w:cstheme="minorHAnsi"/>
          <w:lang w:val="en-US"/>
        </w:rPr>
      </w:pPr>
      <w:r>
        <w:rPr>
          <w:rFonts w:asciiTheme="minorHAnsi" w:hAnsiTheme="minorHAnsi" w:cstheme="minorHAnsi"/>
          <w:lang w:val="en-US"/>
        </w:rPr>
        <w:t xml:space="preserve">Proficiency in IT tools, including Microsoft Office Suite (Word,  Excel and Powerpoint).  </w:t>
      </w:r>
    </w:p>
    <w:p w14:paraId="618184BC">
      <w:pPr>
        <w:spacing w:after="120"/>
        <w:rPr>
          <w:rFonts w:asciiTheme="minorHAnsi" w:hAnsiTheme="minorHAnsi"/>
          <w:lang w:val="en-US"/>
        </w:rPr>
      </w:pPr>
    </w:p>
    <w:p w14:paraId="6DC88878">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 xml:space="preserve">LEARNING OBJECTIVES </w:t>
      </w:r>
    </w:p>
    <w:p w14:paraId="356EE762">
      <w:pPr>
        <w:numPr>
          <w:ilvl w:val="0"/>
          <w:numId w:val="2"/>
        </w:numPr>
        <w:spacing w:after="120"/>
        <w:rPr>
          <w:rFonts w:asciiTheme="minorHAnsi" w:hAnsiTheme="minorHAnsi" w:cstheme="minorHAnsi"/>
          <w:iCs/>
          <w:lang w:val="en-US"/>
        </w:rPr>
      </w:pPr>
      <w:r>
        <w:rPr>
          <w:rFonts w:asciiTheme="minorHAnsi" w:hAnsiTheme="minorHAnsi" w:cstheme="minorHAnsi"/>
          <w:iCs/>
          <w:lang w:val="en-US"/>
        </w:rPr>
        <w:t>Encourage to develop essential skills for independent learning in the field of water resources assessment, focusing on global water challenges, data-driven analysis, and policy implications for sustainable water management.</w:t>
      </w:r>
    </w:p>
    <w:p w14:paraId="7AAF5AA9">
      <w:pPr>
        <w:numPr>
          <w:ilvl w:val="0"/>
          <w:numId w:val="2"/>
        </w:numPr>
        <w:spacing w:after="120"/>
        <w:rPr>
          <w:rFonts w:asciiTheme="minorHAnsi" w:hAnsiTheme="minorHAnsi" w:cstheme="minorHAnsi"/>
          <w:iCs/>
          <w:lang w:val="en-US"/>
        </w:rPr>
      </w:pPr>
      <w:r>
        <w:rPr>
          <w:rFonts w:asciiTheme="minorHAnsi" w:hAnsiTheme="minorHAnsi" w:cstheme="minorHAnsi"/>
          <w:iCs/>
          <w:lang w:val="en-US"/>
        </w:rPr>
        <w:t>Prepare for future societal challenges by fostering a deep understanding of water resources assessment, governance, and sustainability within the framework of SDGs.</w:t>
      </w:r>
    </w:p>
    <w:p w14:paraId="4E3689C8">
      <w:pPr>
        <w:numPr>
          <w:ilvl w:val="0"/>
          <w:numId w:val="2"/>
        </w:numPr>
        <w:spacing w:after="120"/>
        <w:rPr>
          <w:rFonts w:asciiTheme="minorHAnsi" w:hAnsiTheme="minorHAnsi" w:cstheme="minorHAnsi"/>
          <w:iCs/>
          <w:lang w:val="en-US"/>
        </w:rPr>
      </w:pPr>
      <w:r>
        <w:rPr>
          <w:rFonts w:asciiTheme="minorHAnsi" w:hAnsiTheme="minorHAnsi" w:cstheme="minorHAnsi"/>
          <w:iCs/>
          <w:lang w:val="en-US"/>
        </w:rPr>
        <w:t>Help appreciate the complexity of water management systems, including underlying  interdisciplinary approaches, in response to climate change, extremes and evolving water management needs.</w:t>
      </w:r>
    </w:p>
    <w:p w14:paraId="067EC005">
      <w:pPr>
        <w:pStyle w:val="7"/>
        <w:tabs>
          <w:tab w:val="clear" w:pos="4536"/>
          <w:tab w:val="clear" w:pos="9072"/>
        </w:tabs>
        <w:jc w:val="center"/>
        <w:rPr>
          <w:rFonts w:asciiTheme="majorHAnsi" w:hAnsiTheme="majorHAnsi"/>
          <w:b/>
          <w:sz w:val="28"/>
          <w:szCs w:val="28"/>
          <w:lang w:val="en-US"/>
        </w:rPr>
      </w:pPr>
    </w:p>
    <w:p w14:paraId="61DA4273">
      <w:pPr>
        <w:shd w:val="clear" w:color="auto" w:fill="D9D9D9"/>
        <w:spacing w:after="120"/>
        <w:ind w:left="240" w:right="-143" w:hanging="382"/>
        <w:jc w:val="center"/>
        <w:rPr>
          <w:rFonts w:cs="Tahoma" w:asciiTheme="minorHAnsi" w:hAnsiTheme="minorHAnsi"/>
          <w:b/>
          <w:color w:val="1F497D" w:themeColor="text2"/>
          <w:lang w:val="en-GB"/>
          <w14:textFill>
            <w14:solidFill>
              <w14:schemeClr w14:val="tx2"/>
            </w14:solidFill>
          </w14:textFill>
        </w:rPr>
      </w:pPr>
      <w:r>
        <w:rPr>
          <w:rFonts w:cs="Tahoma" w:asciiTheme="minorHAnsi" w:hAnsiTheme="minorHAnsi"/>
          <w:b/>
          <w:color w:val="1F497D" w:themeColor="text2"/>
          <w:lang w:val="en-GB"/>
          <w14:textFill>
            <w14:solidFill>
              <w14:schemeClr w14:val="tx2"/>
            </w14:solidFill>
          </w14:textFill>
        </w:rPr>
        <w:t>ADDITIONAL INFORMATION</w:t>
      </w:r>
    </w:p>
    <w:p w14:paraId="5993EC1D">
      <w:pPr>
        <w:jc w:val="both"/>
        <w:rPr>
          <w:rFonts w:asciiTheme="minorHAnsi" w:hAnsiTheme="minorHAnsi" w:cstheme="minorHAnsi"/>
          <w:color w:val="000000"/>
          <w:lang w:val="en-GB"/>
        </w:rPr>
      </w:pPr>
      <w:bookmarkStart w:id="0" w:name="_Hlk189050244"/>
      <w:r>
        <w:rPr>
          <w:rFonts w:asciiTheme="minorHAnsi" w:hAnsiTheme="minorHAnsi" w:cstheme="minorHAnsi"/>
          <w:color w:val="000000"/>
          <w:lang w:val="en-GB"/>
        </w:rPr>
        <w:t xml:space="preserve">Founded in 2000, UNESCO The World Water Assessment Programme (WWAP) seeks to equip water managers and key decision-makers with the information, data, tools and skills to effectively participate in the development of policies to improve the supply and quality of global freshwater resources. The primary product of the WWAP Secretariat is the UN World Water Development Report, a UN-Water flagship report on water resources related-issues, which is produced every year on a different topic. </w:t>
      </w:r>
    </w:p>
    <w:bookmarkEnd w:id="0"/>
    <w:p w14:paraId="1AD5FDAA">
      <w:pPr>
        <w:jc w:val="both"/>
        <w:rPr>
          <w:rFonts w:asciiTheme="minorHAnsi" w:hAnsiTheme="minorHAnsi" w:cstheme="minorHAnsi"/>
          <w:color w:val="000000"/>
          <w:lang w:val="en-GB"/>
        </w:rPr>
      </w:pPr>
    </w:p>
    <w:p w14:paraId="1E71102B">
      <w:pPr>
        <w:jc w:val="both"/>
        <w:rPr>
          <w:rFonts w:asciiTheme="minorHAnsi" w:hAnsiTheme="minorHAnsi" w:cstheme="minorHAnsi"/>
          <w:color w:val="000000"/>
          <w:lang w:val="en-GB"/>
        </w:rPr>
      </w:pPr>
      <w:r>
        <w:rPr>
          <w:rFonts w:asciiTheme="minorHAnsi" w:hAnsiTheme="minorHAnsi" w:cstheme="minorHAnsi"/>
          <w:color w:val="000000"/>
          <w:lang w:val="en-GB"/>
        </w:rPr>
        <w:t xml:space="preserve">The wealth of information compiled and produced by WWAP have a substantial impact at the policy and implementation level, only if these knowledge products of the Secretariat are shared effectively with policy and decision makers and other relevant stakeholder (e.g. researchers, NGOs, representatives of sectors outside the water domain). This could be done through mainstreaming actions and the use of innovative methods. This requirement necessitates the involvement of a specialist on policy, advocacy and valorisation. </w:t>
      </w:r>
    </w:p>
    <w:p w14:paraId="7285F7F1">
      <w:pPr>
        <w:spacing w:after="120"/>
        <w:rPr>
          <w:rFonts w:asciiTheme="minorHAnsi" w:hAnsiTheme="minorHAnsi" w:cstheme="minorHAnsi"/>
          <w:b/>
          <w:bCs/>
          <w:i/>
          <w:color w:val="0070C0"/>
          <w:lang w:val="en-GB"/>
        </w:rPr>
      </w:pPr>
    </w:p>
    <w:p w14:paraId="1885CCD8">
      <w:pPr>
        <w:spacing w:after="120"/>
        <w:rPr>
          <w:rFonts w:asciiTheme="minorHAnsi" w:hAnsiTheme="minorHAnsi" w:cstheme="minorHAnsi"/>
          <w:b/>
          <w:bCs/>
          <w:i/>
          <w:color w:val="0070C0"/>
          <w:lang w:val="en-GB"/>
        </w:rPr>
      </w:pPr>
      <w:r>
        <w:rPr>
          <w:rFonts w:asciiTheme="minorHAnsi" w:hAnsiTheme="minorHAnsi" w:cstheme="minorHAnsi"/>
          <w:b/>
          <w:bCs/>
          <w:i/>
          <w:color w:val="0070C0"/>
          <w:lang w:val="en-GB"/>
        </w:rPr>
        <w:t>https://www.unesco.org/en/wwap</w:t>
      </w:r>
    </w:p>
    <w:p w14:paraId="0C3783E2">
      <w:pPr>
        <w:pStyle w:val="7"/>
        <w:tabs>
          <w:tab w:val="clear" w:pos="4536"/>
          <w:tab w:val="clear" w:pos="9072"/>
        </w:tabs>
        <w:rPr>
          <w:lang w:val="en-GB"/>
        </w:rPr>
      </w:pPr>
    </w:p>
    <w:sectPr>
      <w:headerReference r:id="rId6" w:type="first"/>
      <w:headerReference r:id="rId5" w:type="default"/>
      <w:footerReference r:id="rId7" w:type="default"/>
      <w:footerReference r:id="rId8" w:type="even"/>
      <w:pgSz w:w="11906" w:h="16838"/>
      <w:pgMar w:top="1418" w:right="1417" w:bottom="1417" w:left="1418" w:header="0" w:footer="62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Arial">
    <w:panose1 w:val="020B0604020202090204"/>
    <w:charset w:val="00"/>
    <w:family w:val="auto"/>
    <w:pitch w:val="default"/>
    <w:sig w:usb0="E0000AFF" w:usb1="00007843" w:usb2="00000001" w:usb3="00000000" w:csb0="400001BF" w:csb1="DFF70000"/>
  </w:font>
  <w:font w:name="Calibri">
    <w:altName w:val="Helvetica Neue"/>
    <w:panose1 w:val="020F0502020204030204"/>
    <w:charset w:val="86"/>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Calibri">
    <w:altName w:val="Helvetica Neue"/>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Arial Unicode MS">
    <w:panose1 w:val="020B0604020202020204"/>
    <w:charset w:val="86"/>
    <w:family w:val="roman"/>
    <w:pitch w:val="default"/>
    <w:sig w:usb0="FFFFFFFF" w:usb1="E9FFFFFF" w:usb2="0000003F" w:usb3="00000000" w:csb0="603F01FF" w:csb1="FFFF0000"/>
  </w:font>
  <w:font w:name="Cambria">
    <w:altName w:val="苹方-简"/>
    <w:panose1 w:val="02040503050406030204"/>
    <w:charset w:val="00"/>
    <w:family w:val="roman"/>
    <w:pitch w:val="default"/>
    <w:sig w:usb0="00000000" w:usb1="00000000" w:usb2="02000000" w:usb3="00000000" w:csb0="0000019F" w:csb1="00000000"/>
  </w:font>
  <w:font w:name="苹方-简">
    <w:panose1 w:val="020B0400000000000000"/>
    <w:charset w:val="86"/>
    <w:family w:val="auto"/>
    <w:pitch w:val="default"/>
    <w:sig w:usb0="A00002FF" w:usb1="7ACFFDFB" w:usb2="00000017" w:usb3="00000000" w:csb0="00040001" w:csb1="00000000"/>
  </w:font>
  <w:font w:name="Helvetica">
    <w:panose1 w:val="00000000000000000000"/>
    <w:charset w:val="00"/>
    <w:family w:val="swiss"/>
    <w:pitch w:val="default"/>
    <w:sig w:usb0="E00002FF" w:usb1="5000785B" w:usb2="00000000" w:usb3="00000000" w:csb0="2000019F" w:csb1="4F01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85B6A0">
    <w:pPr>
      <w:pStyle w:val="6"/>
      <w:rPr>
        <w:rFonts w:ascii="Arial" w:hAnsi="Arial" w:cs="Arial"/>
      </w:rPr>
    </w:pPr>
    <w:r>
      <w:rPr>
        <w:rFonts w:ascii="Arial" w:hAnsi="Arial" w:cs="Arial"/>
        <w:sz w:val="20"/>
        <w:szCs w:val="20"/>
        <w:lang w:val="en-US"/>
      </w:rPr>
      <w:tab/>
    </w:r>
    <w:r>
      <w:rPr>
        <w:rFonts w:ascii="Arial" w:hAnsi="Arial" w:cs="Arial"/>
        <w:sz w:val="20"/>
        <w:szCs w:val="20"/>
        <w:lang w:val="en-US"/>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9CFF7">
    <w:pPr>
      <w:pStyle w:val="6"/>
      <w:framePr w:wrap="around" w:vAnchor="text" w:hAnchor="margin" w:xAlign="right" w:y="1"/>
      <w:rPr>
        <w:rStyle w:val="13"/>
      </w:rPr>
    </w:pPr>
    <w:r>
      <w:rPr>
        <w:rStyle w:val="13"/>
      </w:rPr>
      <w:fldChar w:fldCharType="begin"/>
    </w:r>
    <w:r>
      <w:rPr>
        <w:rStyle w:val="13"/>
      </w:rPr>
      <w:instrText xml:space="preserve">PAGE  </w:instrText>
    </w:r>
    <w:r>
      <w:rPr>
        <w:rStyle w:val="13"/>
      </w:rPr>
      <w:fldChar w:fldCharType="end"/>
    </w:r>
  </w:p>
  <w:p w14:paraId="119C0795">
    <w:pPr>
      <w:pStyle w:val="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2EDE6">
    <w:pPr>
      <w:pStyle w:val="7"/>
    </w:pPr>
  </w:p>
  <w:p w14:paraId="21E41206">
    <w:pPr>
      <w:pStyle w:val="7"/>
      <w:jc w:val="right"/>
      <w:rPr>
        <w:rFonts w:asciiTheme="minorHAnsi" w:hAnsiTheme="minorHAnsi"/>
      </w:rPr>
    </w:pPr>
    <w:r>
      <w:rPr>
        <w:rFonts w:asciiTheme="minorHAnsi" w:hAnsiTheme="minorHAnsi"/>
      </w:rPr>
      <w:tab/>
    </w:r>
    <w:r>
      <w:rPr>
        <w:rFonts w:asciiTheme="minorHAnsi" w:hAnsiTheme="minorHAnsi"/>
      </w:rPr>
      <w:tab/>
    </w:r>
  </w:p>
  <w:p w14:paraId="74AD98F0">
    <w:pPr>
      <w:pStyle w:val="9"/>
      <w:spacing w:before="0" w:after="0"/>
      <w:ind w:left="-567"/>
      <w:jc w:val="right"/>
      <w:rPr>
        <w:rFonts w:ascii="Arial" w:hAnsi="Arial" w:cs="Arial"/>
        <w:sz w:val="22"/>
        <w:szCs w:val="22"/>
        <w:lang w:val="en-US"/>
      </w:rPr>
    </w:pPr>
    <w:r>
      <w:rPr>
        <w:rFonts w:ascii="Arial" w:hAnsi="Arial" w:cs="Arial"/>
        <w:sz w:val="22"/>
        <w:szCs w:val="22"/>
        <w:lang w:val="en-US"/>
      </w:rPr>
      <w:t>HR Appendix 19 D</w:t>
    </w:r>
  </w:p>
  <w:p w14:paraId="42D118E9">
    <w:pPr>
      <w:pStyle w:val="9"/>
      <w:spacing w:before="0" w:after="0"/>
      <w:ind w:left="-567"/>
      <w:jc w:val="right"/>
      <w:rPr>
        <w:rFonts w:ascii="Arial" w:hAnsi="Arial" w:cs="Arial"/>
        <w:b w:val="0"/>
        <w:sz w:val="20"/>
        <w:szCs w:val="20"/>
        <w:lang w:val="en-US"/>
      </w:rPr>
    </w:pPr>
    <w:r>
      <w:rPr>
        <w:rFonts w:ascii="Arial" w:hAnsi="Arial" w:cs="Arial"/>
        <w:b w:val="0"/>
        <w:sz w:val="20"/>
        <w:szCs w:val="20"/>
        <w:lang w:val="en-US"/>
      </w:rPr>
      <w:t>Annex IV</w:t>
    </w:r>
  </w:p>
  <w:p w14:paraId="6AB587DF">
    <w:pPr>
      <w:jc w:val="right"/>
      <w:rPr>
        <w:rFonts w:ascii="Arial" w:hAnsi="Arial" w:cs="Arial"/>
        <w:bCs/>
        <w:kern w:val="28"/>
        <w:sz w:val="20"/>
        <w:szCs w:val="20"/>
        <w:lang w:val="en-US"/>
      </w:rPr>
    </w:pPr>
    <w:r>
      <w:rPr>
        <w:rFonts w:ascii="Arial" w:hAnsi="Arial" w:cs="Arial"/>
        <w:bCs/>
        <w:kern w:val="28"/>
        <w:sz w:val="20"/>
        <w:szCs w:val="20"/>
        <w:lang w:val="en-US"/>
      </w:rPr>
      <w:t xml:space="preserve">Model Terms of Reference – Traineeship </w:t>
    </w:r>
  </w:p>
  <w:p w14:paraId="66B024D9">
    <w:pPr>
      <w:pStyle w:val="7"/>
      <w:rPr>
        <w:rFonts w:asciiTheme="minorHAnsi" w:hAnsiTheme="minorHAnsi"/>
        <w:lang w:val="en-US"/>
      </w:rPr>
    </w:pPr>
  </w:p>
  <w:p w14:paraId="1398410A">
    <w:pPr>
      <w:pStyle w:val="7"/>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39F9D">
    <w:pPr>
      <w:pStyle w:val="9"/>
      <w:rPr>
        <w:i/>
        <w:lang w:val="en-GB"/>
      </w:rPr>
    </w:pPr>
    <w:r>
      <w:rPr>
        <w:i/>
      </w:rPr>
      <w:object>
        <v:shape id="_x0000_i1025" o:spt="75" type="#_x0000_t75" style="height:50.4pt;width:79.8pt;" o:ole="t" fillcolor="#FFFFFF" filled="f" o:preferrelative="t" stroked="f" coordsize="21600,21600">
          <v:path/>
          <v:fill on="f" focussize="0,0"/>
          <v:stroke on="f" joinstyle="miter"/>
          <v:imagedata r:id="rId2" o:title=""/>
          <o:lock v:ext="edit" aspectratio="t"/>
          <w10:wrap type="none"/>
          <w10:anchorlock/>
        </v:shape>
        <o:OLEObject Type="Embed" ProgID="Word.Picture.8" ShapeID="_x0000_i1025" DrawAspect="Content" ObjectID="_1468075725" r:id="rId1">
          <o:LockedField>false</o:LockedField>
        </o:OLEObject>
      </w:object>
    </w:r>
    <w:r>
      <w:rPr>
        <w:i/>
        <w:lang w:val="en-GB"/>
      </w:rPr>
      <w:t xml:space="preserve"> </w:t>
    </w:r>
  </w:p>
  <w:p w14:paraId="2C4F2766">
    <w:pPr>
      <w:pStyle w:val="9"/>
      <w:rPr>
        <w:i/>
        <w:lang w:val="en-GB"/>
      </w:rPr>
    </w:pPr>
    <w:r>
      <w:rPr>
        <w:i/>
        <w:lang w:val="en-GB"/>
      </w:rPr>
      <w:t>UNESCO – Special Internship Contract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936A8B"/>
    <w:multiLevelType w:val="multilevel"/>
    <w:tmpl w:val="20936A8B"/>
    <w:lvl w:ilvl="0" w:tentative="0">
      <w:start w:val="1"/>
      <w:numFmt w:val="lowerRoman"/>
      <w:lvlText w:val="%1."/>
      <w:lvlJc w:val="righ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78F401BC"/>
    <w:multiLevelType w:val="multilevel"/>
    <w:tmpl w:val="78F401BC"/>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documentProtection w:enforcement="0"/>
  <w:defaultTabStop w:val="708"/>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03"/>
    <w:rsid w:val="000104A6"/>
    <w:rsid w:val="00023732"/>
    <w:rsid w:val="000354D9"/>
    <w:rsid w:val="000706FF"/>
    <w:rsid w:val="00103381"/>
    <w:rsid w:val="00136AA8"/>
    <w:rsid w:val="00147C50"/>
    <w:rsid w:val="00165813"/>
    <w:rsid w:val="00173602"/>
    <w:rsid w:val="00184854"/>
    <w:rsid w:val="00194B5B"/>
    <w:rsid w:val="001C1F8A"/>
    <w:rsid w:val="001C20D6"/>
    <w:rsid w:val="001E3A41"/>
    <w:rsid w:val="001E4686"/>
    <w:rsid w:val="0021710C"/>
    <w:rsid w:val="0023470B"/>
    <w:rsid w:val="0026299F"/>
    <w:rsid w:val="00281EE9"/>
    <w:rsid w:val="0036557E"/>
    <w:rsid w:val="003C36B2"/>
    <w:rsid w:val="003C4169"/>
    <w:rsid w:val="00412C3E"/>
    <w:rsid w:val="00417E9B"/>
    <w:rsid w:val="004B168F"/>
    <w:rsid w:val="004C0365"/>
    <w:rsid w:val="004F3150"/>
    <w:rsid w:val="005526B1"/>
    <w:rsid w:val="005B1269"/>
    <w:rsid w:val="005C2E79"/>
    <w:rsid w:val="00602060"/>
    <w:rsid w:val="00637CEA"/>
    <w:rsid w:val="0064354D"/>
    <w:rsid w:val="00666C64"/>
    <w:rsid w:val="006A55A5"/>
    <w:rsid w:val="006D6583"/>
    <w:rsid w:val="007278D2"/>
    <w:rsid w:val="00727FF8"/>
    <w:rsid w:val="007B3487"/>
    <w:rsid w:val="007D1E2A"/>
    <w:rsid w:val="007E2C7E"/>
    <w:rsid w:val="007F6034"/>
    <w:rsid w:val="00802903"/>
    <w:rsid w:val="00847E49"/>
    <w:rsid w:val="00892DB1"/>
    <w:rsid w:val="008D3543"/>
    <w:rsid w:val="009235BD"/>
    <w:rsid w:val="00951481"/>
    <w:rsid w:val="00967E33"/>
    <w:rsid w:val="009A60D9"/>
    <w:rsid w:val="009B6FD0"/>
    <w:rsid w:val="00A40351"/>
    <w:rsid w:val="00A40C3A"/>
    <w:rsid w:val="00AB6F8C"/>
    <w:rsid w:val="00AF352F"/>
    <w:rsid w:val="00B07158"/>
    <w:rsid w:val="00B12EDB"/>
    <w:rsid w:val="00B14131"/>
    <w:rsid w:val="00B175D7"/>
    <w:rsid w:val="00B448F2"/>
    <w:rsid w:val="00B45072"/>
    <w:rsid w:val="00B6370F"/>
    <w:rsid w:val="00B75706"/>
    <w:rsid w:val="00B764FE"/>
    <w:rsid w:val="00B82DE5"/>
    <w:rsid w:val="00B92BB7"/>
    <w:rsid w:val="00BC1989"/>
    <w:rsid w:val="00C51848"/>
    <w:rsid w:val="00C8431A"/>
    <w:rsid w:val="00C85192"/>
    <w:rsid w:val="00C87E96"/>
    <w:rsid w:val="00C97536"/>
    <w:rsid w:val="00CF4122"/>
    <w:rsid w:val="00D13681"/>
    <w:rsid w:val="00D21AB1"/>
    <w:rsid w:val="00D25C17"/>
    <w:rsid w:val="00D662BD"/>
    <w:rsid w:val="00D86D76"/>
    <w:rsid w:val="00DA16A5"/>
    <w:rsid w:val="00DB751B"/>
    <w:rsid w:val="00DC3993"/>
    <w:rsid w:val="00DF4490"/>
    <w:rsid w:val="00DF605F"/>
    <w:rsid w:val="00E46B0E"/>
    <w:rsid w:val="00EB02CA"/>
    <w:rsid w:val="00EB5691"/>
    <w:rsid w:val="00ED6853"/>
    <w:rsid w:val="00F2275F"/>
    <w:rsid w:val="00F4606F"/>
    <w:rsid w:val="00F8566B"/>
    <w:rsid w:val="00F94E0D"/>
    <w:rsid w:val="00FB0733"/>
    <w:rsid w:val="69798F5E"/>
    <w:rsid w:val="FEBBFF5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fr-FR" w:eastAsia="fr-FR" w:bidi="ar-SA"/>
    </w:rPr>
  </w:style>
  <w:style w:type="paragraph" w:styleId="2">
    <w:name w:val="heading 8"/>
    <w:basedOn w:val="1"/>
    <w:next w:val="1"/>
    <w:link w:val="16"/>
    <w:qFormat/>
    <w:uiPriority w:val="0"/>
    <w:pPr>
      <w:keepNext/>
      <w:shd w:val="clear" w:color="auto" w:fill="FFFF99"/>
      <w:tabs>
        <w:tab w:val="left" w:pos="3255"/>
      </w:tabs>
      <w:ind w:left="480"/>
      <w:outlineLvl w:val="7"/>
    </w:pPr>
    <w:rPr>
      <w:rFonts w:ascii="Arial" w:hAnsi="Arial" w:cs="Arial"/>
      <w:b/>
      <w:bCs/>
      <w:lang w:val="en-GB"/>
    </w:rPr>
  </w:style>
  <w:style w:type="character" w:default="1" w:styleId="12">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4"/>
    <w:semiHidden/>
    <w:unhideWhenUsed/>
    <w:uiPriority w:val="99"/>
    <w:rPr>
      <w:sz w:val="20"/>
      <w:szCs w:val="20"/>
    </w:rPr>
  </w:style>
  <w:style w:type="paragraph" w:styleId="4">
    <w:name w:val="Body Text"/>
    <w:basedOn w:val="1"/>
    <w:link w:val="18"/>
    <w:uiPriority w:val="0"/>
    <w:pPr>
      <w:jc w:val="both"/>
    </w:pPr>
    <w:rPr>
      <w:rFonts w:ascii="Arial" w:hAnsi="Arial" w:cs="Arial"/>
      <w:lang w:val="en-GB"/>
    </w:rPr>
  </w:style>
  <w:style w:type="paragraph" w:styleId="5">
    <w:name w:val="Balloon Text"/>
    <w:basedOn w:val="1"/>
    <w:link w:val="21"/>
    <w:semiHidden/>
    <w:unhideWhenUsed/>
    <w:uiPriority w:val="99"/>
    <w:rPr>
      <w:rFonts w:ascii="Tahoma" w:hAnsi="Tahoma" w:cs="Tahoma"/>
      <w:sz w:val="16"/>
      <w:szCs w:val="16"/>
    </w:rPr>
  </w:style>
  <w:style w:type="paragraph" w:styleId="6">
    <w:name w:val="footer"/>
    <w:basedOn w:val="1"/>
    <w:link w:val="17"/>
    <w:uiPriority w:val="0"/>
    <w:pPr>
      <w:tabs>
        <w:tab w:val="center" w:pos="4536"/>
        <w:tab w:val="right" w:pos="9072"/>
      </w:tabs>
    </w:pPr>
  </w:style>
  <w:style w:type="paragraph" w:styleId="7">
    <w:name w:val="header"/>
    <w:basedOn w:val="1"/>
    <w:link w:val="20"/>
    <w:unhideWhenUsed/>
    <w:uiPriority w:val="0"/>
    <w:pPr>
      <w:tabs>
        <w:tab w:val="center" w:pos="4536"/>
        <w:tab w:val="right" w:pos="9072"/>
      </w:tabs>
    </w:pPr>
  </w:style>
  <w:style w:type="paragraph" w:styleId="8">
    <w:name w:val="Normal (Web)"/>
    <w:basedOn w:val="1"/>
    <w:uiPriority w:val="0"/>
    <w:pPr>
      <w:spacing w:before="100" w:beforeAutospacing="1" w:after="100" w:afterAutospacing="1"/>
    </w:pPr>
    <w:rPr>
      <w:rFonts w:ascii="Arial Unicode MS" w:hAnsi="Arial Unicode MS" w:eastAsia="Arial Unicode MS" w:cs="Arial Unicode MS"/>
    </w:rPr>
  </w:style>
  <w:style w:type="paragraph" w:styleId="9">
    <w:name w:val="Title"/>
    <w:basedOn w:val="1"/>
    <w:next w:val="1"/>
    <w:link w:val="19"/>
    <w:qFormat/>
    <w:uiPriority w:val="0"/>
    <w:pPr>
      <w:spacing w:before="240" w:after="60"/>
      <w:jc w:val="center"/>
      <w:outlineLvl w:val="0"/>
    </w:pPr>
    <w:rPr>
      <w:rFonts w:ascii="Cambria" w:hAnsi="Cambria"/>
      <w:b/>
      <w:bCs/>
      <w:kern w:val="28"/>
      <w:sz w:val="32"/>
      <w:szCs w:val="32"/>
    </w:rPr>
  </w:style>
  <w:style w:type="paragraph" w:styleId="10">
    <w:name w:val="annotation subject"/>
    <w:basedOn w:val="3"/>
    <w:next w:val="3"/>
    <w:link w:val="25"/>
    <w:semiHidden/>
    <w:unhideWhenUsed/>
    <w:uiPriority w:val="99"/>
    <w:rPr>
      <w:b/>
      <w:bCs/>
    </w:rPr>
  </w:style>
  <w:style w:type="character" w:styleId="13">
    <w:name w:val="page number"/>
    <w:basedOn w:val="12"/>
    <w:uiPriority w:val="0"/>
  </w:style>
  <w:style w:type="character" w:styleId="14">
    <w:name w:val="Hyperlink"/>
    <w:unhideWhenUsed/>
    <w:uiPriority w:val="99"/>
    <w:rPr>
      <w:color w:val="0000FF"/>
      <w:u w:val="single"/>
    </w:rPr>
  </w:style>
  <w:style w:type="character" w:styleId="15">
    <w:name w:val="annotation reference"/>
    <w:basedOn w:val="12"/>
    <w:semiHidden/>
    <w:unhideWhenUsed/>
    <w:uiPriority w:val="99"/>
    <w:rPr>
      <w:sz w:val="16"/>
      <w:szCs w:val="16"/>
    </w:rPr>
  </w:style>
  <w:style w:type="character" w:customStyle="1" w:styleId="16">
    <w:name w:val="Heading 8 Char"/>
    <w:basedOn w:val="12"/>
    <w:link w:val="2"/>
    <w:uiPriority w:val="0"/>
    <w:rPr>
      <w:rFonts w:ascii="Arial" w:hAnsi="Arial" w:eastAsia="Times New Roman" w:cs="Arial"/>
      <w:b/>
      <w:bCs/>
      <w:sz w:val="24"/>
      <w:szCs w:val="24"/>
      <w:shd w:val="clear" w:color="auto" w:fill="FFFF99"/>
      <w:lang w:val="en-GB" w:eastAsia="fr-FR"/>
    </w:rPr>
  </w:style>
  <w:style w:type="character" w:customStyle="1" w:styleId="17">
    <w:name w:val="Footer Char"/>
    <w:basedOn w:val="12"/>
    <w:link w:val="6"/>
    <w:uiPriority w:val="0"/>
    <w:rPr>
      <w:rFonts w:ascii="Times New Roman" w:hAnsi="Times New Roman" w:eastAsia="Times New Roman" w:cs="Times New Roman"/>
      <w:sz w:val="24"/>
      <w:szCs w:val="24"/>
      <w:lang w:eastAsia="fr-FR"/>
    </w:rPr>
  </w:style>
  <w:style w:type="character" w:customStyle="1" w:styleId="18">
    <w:name w:val="Body Text Char"/>
    <w:basedOn w:val="12"/>
    <w:link w:val="4"/>
    <w:uiPriority w:val="0"/>
    <w:rPr>
      <w:rFonts w:ascii="Arial" w:hAnsi="Arial" w:eastAsia="Times New Roman" w:cs="Arial"/>
      <w:sz w:val="24"/>
      <w:szCs w:val="24"/>
      <w:lang w:val="en-GB" w:eastAsia="fr-FR"/>
    </w:rPr>
  </w:style>
  <w:style w:type="character" w:customStyle="1" w:styleId="19">
    <w:name w:val="Title Char"/>
    <w:basedOn w:val="12"/>
    <w:link w:val="9"/>
    <w:uiPriority w:val="0"/>
    <w:rPr>
      <w:rFonts w:ascii="Cambria" w:hAnsi="Cambria" w:eastAsia="Times New Roman" w:cs="Times New Roman"/>
      <w:b/>
      <w:bCs/>
      <w:kern w:val="28"/>
      <w:sz w:val="32"/>
      <w:szCs w:val="32"/>
      <w:lang w:eastAsia="fr-FR"/>
    </w:rPr>
  </w:style>
  <w:style w:type="character" w:customStyle="1" w:styleId="20">
    <w:name w:val="Header Char"/>
    <w:basedOn w:val="12"/>
    <w:link w:val="7"/>
    <w:uiPriority w:val="0"/>
    <w:rPr>
      <w:rFonts w:ascii="Times New Roman" w:hAnsi="Times New Roman" w:eastAsia="Times New Roman" w:cs="Times New Roman"/>
      <w:sz w:val="24"/>
      <w:szCs w:val="24"/>
      <w:lang w:eastAsia="fr-FR"/>
    </w:rPr>
  </w:style>
  <w:style w:type="character" w:customStyle="1" w:styleId="21">
    <w:name w:val="Balloon Text Char"/>
    <w:basedOn w:val="12"/>
    <w:link w:val="5"/>
    <w:semiHidden/>
    <w:uiPriority w:val="99"/>
    <w:rPr>
      <w:rFonts w:ascii="Tahoma" w:hAnsi="Tahoma" w:eastAsia="Times New Roman" w:cs="Tahoma"/>
      <w:sz w:val="16"/>
      <w:szCs w:val="16"/>
      <w:lang w:eastAsia="fr-FR"/>
    </w:rPr>
  </w:style>
  <w:style w:type="paragraph" w:styleId="22">
    <w:name w:val="List Paragraph"/>
    <w:basedOn w:val="1"/>
    <w:qFormat/>
    <w:uiPriority w:val="34"/>
    <w:pPr>
      <w:ind w:left="720"/>
      <w:contextualSpacing/>
    </w:pPr>
  </w:style>
  <w:style w:type="paragraph" w:customStyle="1" w:styleId="23">
    <w:name w:val="Body"/>
    <w:uiPriority w:val="0"/>
    <w:pPr>
      <w:spacing w:after="0" w:line="240" w:lineRule="auto"/>
    </w:pPr>
    <w:rPr>
      <w:rFonts w:ascii="Helvetica" w:hAnsi="Arial Unicode MS" w:eastAsia="Arial Unicode MS" w:cs="Arial Unicode MS"/>
      <w:color w:val="000000"/>
      <w:sz w:val="22"/>
      <w:szCs w:val="22"/>
      <w:lang w:val="en-US" w:eastAsia="en-US" w:bidi="ar-SA"/>
    </w:rPr>
  </w:style>
  <w:style w:type="character" w:customStyle="1" w:styleId="24">
    <w:name w:val="Comment Text Char"/>
    <w:basedOn w:val="12"/>
    <w:link w:val="3"/>
    <w:semiHidden/>
    <w:uiPriority w:val="99"/>
    <w:rPr>
      <w:rFonts w:ascii="Times New Roman" w:hAnsi="Times New Roman" w:eastAsia="Times New Roman" w:cs="Times New Roman"/>
      <w:sz w:val="20"/>
      <w:szCs w:val="20"/>
      <w:lang w:eastAsia="fr-FR"/>
    </w:rPr>
  </w:style>
  <w:style w:type="character" w:customStyle="1" w:styleId="25">
    <w:name w:val="Comment Subject Char"/>
    <w:basedOn w:val="24"/>
    <w:link w:val="10"/>
    <w:semiHidden/>
    <w:uiPriority w:val="99"/>
    <w:rPr>
      <w:rFonts w:ascii="Times New Roman" w:hAnsi="Times New Roman" w:eastAsia="Times New Roman" w:cs="Times New Roman"/>
      <w:b/>
      <w:bCs/>
      <w:sz w:val="20"/>
      <w:szCs w:val="20"/>
      <w:lang w:eastAsia="fr-FR"/>
    </w:rPr>
  </w:style>
  <w:style w:type="paragraph" w:customStyle="1" w:styleId="26">
    <w:name w:val="Revision"/>
    <w:hidden/>
    <w:semiHidden/>
    <w:uiPriority w:val="99"/>
    <w:pPr>
      <w:spacing w:after="0" w:line="240" w:lineRule="auto"/>
    </w:pPr>
    <w:rPr>
      <w:rFonts w:ascii="Times New Roman" w:hAnsi="Times New Roman" w:eastAsia="Times New Roman" w:cs="Times New Roman"/>
      <w:sz w:val="24"/>
      <w:szCs w:val="24"/>
      <w:lang w:val="fr-FR" w:eastAsia="fr-FR"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1.wmf"/><Relationship Id="rId1"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ma="http://schemas.microsoft.com/office/2006/metadata/properties/metaAttributes" xmlns:ct="http://schemas.microsoft.com/office/2006/metadata/contentType" ma:contentTypeVersion="18" ma:contentTypeDescription="Create a new document." ma:versionID="11445bd0ebf807885b7ac9eb72c17799" ma:contentTypeName="Document" ma:contentTypeScope="" ct:_="" ma:contentTypeID="0x010100E39BD250CBD11D409816A6C5369FE396" ma:_="">
  <xsd:schema xmlns:xs="http://www.w3.org/2001/XMLSchema" xmlns:ns2="ec9d1205-0d59-41d9-aedc-feed8660e626" xmlns:ns3="2b7dcbda-7613-480c-8c1d-6f8f715ee140" xmlns:xsd="http://www.w3.org/2001/XMLSchema" xmlns:p="http://schemas.microsoft.com/office/2006/metadata/properties" ns3:_="" ma:fieldsID="f431308ae457ffa233c8842c99856c79" ns2:_="" targetNamespace="http://schemas.microsoft.com/office/2006/metadata/properties" ma:root="true">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ec9d1205-0d59-41d9-aedc-feed8660e626">
    <xsd:import namespace="http://schemas.microsoft.com/office/2006/documentManagement/types"/>
    <xsd:import namespace="http://schemas.microsoft.com/office/infopath/2007/PartnerControls"/>
    <xsd:element ma:readOnly="true" ma:hidden="true" ma:internalName="MediaServiceMetadata" ma:displayName="MediaServiceMetadata" nillable="true" name="MediaServiceMetadata" ma:index="8">
      <xsd:simpleType>
        <xsd:restriction base="dms:Note"/>
      </xsd:simpleType>
    </xsd:element>
    <xsd:element ma:readOnly="true" ma:hidden="true" ma:internalName="MediaServiceFastMetadata" ma:displayName="MediaServiceFastMetadata" nillable="true" name="MediaServiceFastMetadata" ma:index="9">
      <xsd:simpleType>
        <xsd:restriction base="dms:Note"/>
      </xsd:simpleType>
    </xsd:element>
    <xsd:element ma:readOnly="true" ma:hidden="true" ma:internalName="MediaServiceAutoKeyPoints" ma:displayName="MediaServiceAutoKeyPoints" nillable="true" name="MediaServiceAutoKeyPoints" ma:index="10">
      <xsd:simpleType>
        <xsd:restriction base="dms:Note"/>
      </xsd:simpleType>
    </xsd:element>
    <xsd:element ma:readOnly="true" ma:internalName="MediaServiceKeyPoints" ma:displayName="KeyPoints" nillable="true" name="MediaServiceKeyPoints" ma:index="11">
      <xsd:simpleType>
        <xsd:restriction base="dms:Note">
          <xsd:maxLength value="255"/>
        </xsd:restriction>
      </xsd:simpleType>
    </xsd:element>
    <xsd:element ma:readOnly="true" ma:hidden="true" ma:internalName="MediaServiceDateTaken" ma:displayName="MediaServiceDateTaken" nillable="true" name="MediaServiceDateTaken" ma:index="14">
      <xsd:simpleType>
        <xsd:restriction base="dms:Text"/>
      </xsd:simpleType>
    </xsd:element>
    <xsd:element ma:readOnly="true" ma:internalName="MediaServiceAutoTags" ma:displayName="Tags" nillable="true" name="MediaServiceAutoTags" ma:index="15">
      <xsd:simpleType>
        <xsd:restriction base="dms:Text"/>
      </xsd:simpleType>
    </xsd:element>
    <xsd:element ma:readOnly="true" ma:internalName="MediaServiceLocation" ma:displayName="Location" nillable="true" name="MediaServiceLocation" ma:index="16">
      <xsd:simpleType>
        <xsd:restriction base="dms:Text"/>
      </xsd:simpleType>
    </xsd:element>
    <xsd:element ma:readOnly="true" ma:hidden="true" ma:internalName="MediaServiceGenerationTime" ma:displayName="MediaServiceGenerationTime" nillable="true" name="MediaServiceGenerationTime" ma:index="17">
      <xsd:simpleType>
        <xsd:restriction base="dms:Text"/>
      </xsd:simpleType>
    </xsd:element>
    <xsd:element ma:readOnly="true" ma:hidden="true" ma:internalName="MediaServiceEventHashCode" ma:displayName="MediaServiceEventHashCode" nillable="true" name="MediaServiceEventHashCode" ma:index="18">
      <xsd:simpleType>
        <xsd:restriction base="dms:Text"/>
      </xsd:simpleType>
    </xsd:element>
    <xsd:element ma:readOnly="true" ma:internalName="MediaServiceOCR" ma:displayName="Extracted Text" nillable="true" name="MediaServiceOCR" ma:index="19">
      <xsd:simpleType>
        <xsd:restriction base="dms:Note">
          <xsd:maxLength value="255"/>
        </xsd:restriction>
      </xsd:simpleType>
    </xsd:element>
    <xsd:element ma:readOnly="true" ma:internalName="MediaLengthInSeconds" ma:displayName="Length (seconds)" nillable="true" name="MediaLengthInSeconds" ma:index="20">
      <xsd:simpleType>
        <xsd:restriction base="dms:Unknown"/>
      </xsd:simpleType>
    </xsd:element>
    <xsd:element ma:taxonomyFieldName="MediaServiceImageTags" ma:anchorId="fba54fb3-c3e1-fe81-a776-ca4b69148c4d" ma:readOnly="false" ma:taxonomyMulti="true" ma:internalName="lcf76f155ced4ddcb4097134ff3c332f" ma:taxonomy="true" ma:displayName="Image Tags" nillable="true" ma:open="true" ma:isKeyword="false" ma:sspId="20cec18f-64e3-475c-b7ef-ac8bd502240b" name="lcf76f155ced4ddcb4097134ff3c332f" ma:termSetId="09814cd3-568e-fe90-9814-8d621ff8fb84" ma:index="22" ma:fieldId="{5cf76f15-5ced-4ddc-b409-7134ff3c332f}">
      <xsd:complexType>
        <xsd:sequence>
          <xsd:element maxOccurs="1" ref="pc:Terms" minOccurs="0"/>
        </xsd:sequence>
      </xsd:complexType>
    </xsd:element>
    <xsd:element ma:readOnly="true" ma:hidden="true" ma:internalName="MediaServiceObjectDetectorVersions" ma:displayName="MediaServiceObjectDetectorVersions" nillable="true" name="MediaServiceObjectDetectorVersions" ma:index="24" ma:indexed="true">
      <xsd:simpleType>
        <xsd:restriction base="dms:Text"/>
      </xsd:simpleType>
    </xsd:element>
    <xsd:element ma:readOnly="true" ma:hidden="true" ma:internalName="MediaServiceSearchProperties" ma:displayName="MediaServiceSearchProperties" nillable="true" name="MediaServiceSearchProperties" ma:index="25">
      <xsd:simpleType>
        <xsd:restriction base="dms:Note"/>
      </xsd:simpleType>
    </xsd:element>
  </xsd:schema>
  <xsd:schema xmlns:xs="http://www.w3.org/2001/XMLSchema" xmlns:xsd="http://www.w3.org/2001/XMLSchema" xmlns:pc="http://schemas.microsoft.com/office/infopath/2007/PartnerControls" xmlns:dms="http://schemas.microsoft.com/office/2006/documentManagement/types" elementFormDefault="qualified" targetNamespace="2b7dcbda-7613-480c-8c1d-6f8f715ee140">
    <xsd:import namespace="http://schemas.microsoft.com/office/2006/documentManagement/types"/>
    <xsd:import namespace="http://schemas.microsoft.com/office/infopath/2007/PartnerControls"/>
    <xsd:element ma:readOnly="true" ma:internalName="SharedWithUsers" ma:displayName="Shared With" nillable="true" name="SharedWithUsers" ma:index="12">
      <xsd:complexType>
        <xsd:complexContent>
          <xsd:extension base="dms:UserMulti">
            <xsd:sequence>
              <xsd:element maxOccurs="unbounded" name="UserInfo"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readOnly="true" ma:internalName="SharedWithDetails" ma:displayName="Shared With Details" nillable="true" name="SharedWithDetails" ma:index="13">
      <xsd:simpleType>
        <xsd:restriction base="dms:Note">
          <xsd:maxLength value="255"/>
        </xsd:restriction>
      </xsd:simpleType>
    </xsd:element>
    <xsd:element ma:hidden="true" ma:internalName="TaxCatchAll" ma:showField="CatchAllData" ma:displayName="Taxonomy Catch All Column" ma:list="{5aa18186-c5b1-432e-8a20-e708df92eed6}" nillable="true" name="TaxCatchAll" ma:index="23" ma:web="2b7dcbda-7613-480c-8c1d-6f8f715ee140">
      <xsd:complexType>
        <xsd:complexContent>
          <xsd:extension base="dms:MultiChoiceLookup">
            <xsd:sequence>
              <xsd:element type="dms:Lookup" nillable="true" maxOccurs="unbounded" name="Value" minOccurs="0"/>
            </xsd:sequence>
          </xsd:extension>
        </xsd:complexContent>
      </xsd:complexType>
    </xsd:element>
  </xsd:schema>
  <xsd:schema xmlns="http://schemas.openxmlformats.org/package/2006/metadata/core-properties" xmlns:xsd="http://www.w3.org/2001/XMLSchema" xmlns:dcterms="http://purl.org/dc/terms/" xmlns:xsi="http://www.w3.org/2001/XMLSchema-instance" xmlns:dc="http://purl.org/dc/elements/1.1/" xmlns:odoc="http://schemas.microsoft.com/internal/obd" elementFormDefault="qualified" targetNamespace="http://schemas.openxmlformats.org/package/2006/metadata/core-properties" blockDefault="#all"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type="xsd:string" ma:displayName="Content Type" maxOccurs="1" name="contentType" minOccurs="0" ma:index="0"/>
        <xsd:element ma:displayName="Title" maxOccurs="1" ref="dc:title" minOccurs="0" ma:index="4"/>
        <xsd:element maxOccurs="1" ref="dc:subject" minOccurs="0"/>
        <xsd:element maxOccurs="1" ref="dc:description" minOccurs="0"/>
        <xsd:element type="xsd:string" maxOccurs="1" name="keywords" minOccurs="0"/>
        <xsd:element maxOccurs="1" ref="dc:language"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maxOccurs="1" ref="dcterms:modified" minOccurs="0"/>
        <xsd:element type="xsd:string" maxOccurs="1" name="contentStatus" minOccurs="0"/>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p:properties xmlns:p="http://schemas.microsoft.com/office/2006/metadata/properties" xmlns:xsi="http://www.w3.org/2001/XMLSchema-instance">
  <documentManagement>
    <lcf76f155ced4ddcb4097134ff3c332f xmlns="ec9d1205-0d59-41d9-aedc-feed8660e626">
      <Terms xmlns="http://schemas.microsoft.com/office/infopath/2007/PartnerControls"/>
    </lcf76f155ced4ddcb4097134ff3c332f>
    <TaxCatchAll xmlns="2b7dcbda-7613-480c-8c1d-6f8f715ee14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05B2FBD-98D6-4EB8-A742-4DAC65EBFC03}">
  <ds:schemaRefs/>
</ds:datastoreItem>
</file>

<file path=customXml/itemProps2.xml><?xml version="1.0" encoding="utf-8"?>
<ds:datastoreItem xmlns:ds="http://schemas.openxmlformats.org/officeDocument/2006/customXml" ds:itemID="{DA30B7FC-D879-4B2A-B54A-4A41516BA24C}">
  <ds:schemaRefs/>
</ds:datastoreItem>
</file>

<file path=customXml/itemProps3.xml><?xml version="1.0" encoding="utf-8"?>
<ds:datastoreItem xmlns:ds="http://schemas.openxmlformats.org/officeDocument/2006/customXml" ds:itemID="{167E99D5-1659-4572-839F-7FCB79B0B124}">
  <ds:schemaRefs/>
</ds:datastoreItem>
</file>

<file path=customXml/itemProps4.xml><?xml version="1.0" encoding="utf-8"?>
<ds:datastoreItem xmlns:ds="http://schemas.openxmlformats.org/officeDocument/2006/customXml" ds:itemID="{44771CD0-473C-4658-9362-B6BFC250D7A9}">
  <ds:schemaRefs/>
</ds:datastoreItem>
</file>

<file path=docProps/app.xml><?xml version="1.0" encoding="utf-8"?>
<Properties xmlns="http://schemas.openxmlformats.org/officeDocument/2006/extended-properties" xmlns:vt="http://schemas.openxmlformats.org/officeDocument/2006/docPropsVTypes">
  <Template>Normal</Template>
  <Pages>3</Pages>
  <Words>688</Words>
  <Characters>3925</Characters>
  <Lines>32</Lines>
  <Paragraphs>9</Paragraphs>
  <TotalTime>0</TotalTime>
  <ScaleCrop>false</ScaleCrop>
  <LinksUpToDate>false</LinksUpToDate>
  <CharactersWithSpaces>4604</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2026-02-07T03:14:00Z</dcterms:created>
  <dc:creator>UNESCO</dc:creator>
  <cp:lastModifiedBy>CH</cp:lastModifiedBy>
  <cp:lastPrinted>2016-08-05T05:44:00Z</cp:lastPrinted>
  <dcterms:modified xsi:type="dcterms:W3CDTF">2026-02-23T18:13:04Z</dcterms:modified>
  <dc:title>TOR_WWAP_Trainee_Valorization and Outreach</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fe2a72f2-c52d-4df0-87f9-daed97346306</vt:lpwstr>
  </property>
  <property fmtid="{D5CDD505-2E9C-101B-9397-08002B2CF9AE}" pid="4" name="KSOProductBuildVer">
    <vt:lpwstr>2052-12.1.24709.24709</vt:lpwstr>
  </property>
  <property fmtid="{D5CDD505-2E9C-101B-9397-08002B2CF9AE}" pid="5" name="ICV">
    <vt:lpwstr>A6B22B7390A1D29C4544996923F6A1C2_42</vt:lpwstr>
  </property>
</Properties>
</file>